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CB1" w:rsidRDefault="0094424E" w:rsidP="00297CB1">
      <w:pPr>
        <w:suppressLineNumbers/>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7CB1" w:rsidTr="00297CB1">
        <w:trPr>
          <w:jc w:val="center"/>
        </w:trPr>
        <w:tc>
          <w:tcPr>
            <w:tcW w:w="743" w:type="dxa"/>
            <w:hideMark/>
          </w:tcPr>
          <w:p w:rsidR="00297CB1" w:rsidRDefault="00297CB1">
            <w:pPr>
              <w:suppressLineNumbers/>
              <w:jc w:val="both"/>
              <w:rPr>
                <w:rFonts w:ascii="Arial" w:hAnsi="Arial"/>
                <w:b/>
                <w:bCs/>
                <w:sz w:val="26"/>
                <w:szCs w:val="26"/>
                <w:rtl/>
              </w:rPr>
            </w:pPr>
            <w:r>
              <w:rPr>
                <w:rFonts w:ascii="Arial" w:hAnsi="Arial"/>
                <w:b/>
                <w:bCs/>
                <w:sz w:val="26"/>
                <w:szCs w:val="26"/>
                <w:rtl/>
              </w:rPr>
              <w:t xml:space="preserve">בפני </w:t>
            </w:r>
          </w:p>
        </w:tc>
        <w:tc>
          <w:tcPr>
            <w:tcW w:w="8077" w:type="dxa"/>
            <w:gridSpan w:val="2"/>
          </w:tcPr>
          <w:p w:rsidR="00297CB1" w:rsidRDefault="00297CB1">
            <w:pPr>
              <w:suppressLineNumbers/>
              <w:rPr>
                <w:rFonts w:ascii="Arial" w:hAnsi="Arial"/>
                <w:b/>
                <w:bCs/>
                <w:sz w:val="26"/>
                <w:szCs w:val="26"/>
                <w:rtl/>
              </w:rPr>
            </w:pPr>
            <w:r>
              <w:rPr>
                <w:rFonts w:ascii="Arial" w:hAnsi="Arial"/>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סארי ג'יוסי</w:t>
                </w:r>
              </w:sdtContent>
            </w:sdt>
          </w:p>
          <w:p w:rsidR="00297CB1" w:rsidRDefault="00297CB1">
            <w:pPr>
              <w:suppressLineNumbers/>
              <w:rPr>
                <w:rFonts w:ascii="Arial" w:hAnsi="Arial" w:cs="FrankRuehl"/>
                <w:sz w:val="26"/>
                <w:szCs w:val="26"/>
                <w:highlight w:val="yellow"/>
                <w:rtl/>
              </w:rPr>
            </w:pPr>
          </w:p>
        </w:tc>
      </w:tr>
      <w:tr w:rsidR="00297CB1" w:rsidTr="00297CB1">
        <w:trPr>
          <w:jc w:val="center"/>
        </w:trPr>
        <w:tc>
          <w:tcPr>
            <w:tcW w:w="3249" w:type="dxa"/>
            <w:gridSpan w:val="2"/>
          </w:tcPr>
          <w:p w:rsidR="00297CB1" w:rsidRDefault="00297CB1">
            <w:pPr>
              <w:suppressLineNumbers/>
              <w:rPr>
                <w:rFonts w:ascii="Arial" w:hAnsi="Arial"/>
                <w:b/>
                <w:bCs/>
                <w:noProof w:val="0"/>
                <w:sz w:val="26"/>
                <w:szCs w:val="26"/>
              </w:rPr>
            </w:pPr>
          </w:p>
          <w:sdt>
            <w:sdtPr>
              <w:rPr>
                <w:rtl/>
              </w:rPr>
              <w:alias w:val="1180"/>
              <w:tag w:val="1180"/>
              <w:id w:val="637458750"/>
              <w:text w:multiLine="1"/>
            </w:sdtPr>
            <w:sdtEndPr/>
            <w:sdtContent>
              <w:p w:rsidR="00297CB1" w:rsidRDefault="00297CB1">
                <w:pPr>
                  <w:suppressLineNumbers/>
                  <w:rPr>
                    <w:rFonts w:ascii="Arial" w:hAnsi="Arial"/>
                    <w:b/>
                    <w:bCs/>
                    <w:noProof w:val="0"/>
                    <w:sz w:val="26"/>
                    <w:szCs w:val="26"/>
                  </w:rPr>
                </w:pPr>
                <w:r>
                  <w:rPr>
                    <w:rFonts w:ascii="Arial" w:hAnsi="Arial"/>
                    <w:b/>
                    <w:bCs/>
                    <w:noProof w:val="0"/>
                    <w:sz w:val="26"/>
                    <w:szCs w:val="26"/>
                    <w:rtl/>
                  </w:rPr>
                  <w:t>המבקשת</w:t>
                </w:r>
              </w:p>
            </w:sdtContent>
          </w:sdt>
        </w:tc>
        <w:tc>
          <w:tcPr>
            <w:tcW w:w="5571" w:type="dxa"/>
          </w:tcPr>
          <w:p w:rsidR="00297CB1" w:rsidRDefault="00297CB1">
            <w:pPr>
              <w:suppressLineNumbers/>
              <w:rPr>
                <w:rFonts w:ascii="Arial" w:hAnsi="Arial"/>
                <w:b/>
                <w:bCs/>
                <w:noProof w:val="0"/>
                <w:sz w:val="26"/>
                <w:szCs w:val="26"/>
                <w:rtl/>
              </w:rPr>
            </w:pPr>
          </w:p>
          <w:p w:rsidR="00297CB1" w:rsidRDefault="00297CB1" w:rsidP="00DC0838">
            <w:pPr>
              <w:suppressLineNumbers/>
              <w:rPr>
                <w:rtl/>
              </w:rPr>
            </w:pPr>
            <w:r>
              <w:rPr>
                <w:rFonts w:ascii="Arial" w:hAnsi="Arial"/>
                <w:b/>
                <w:bCs/>
                <w:noProof w:val="0"/>
                <w:sz w:val="26"/>
                <w:szCs w:val="26"/>
                <w:rtl/>
              </w:rPr>
              <w:t xml:space="preserve"> </w:t>
            </w:r>
            <w:sdt>
              <w:sdtPr>
                <w:rPr>
                  <w:rFonts w:ascii="Arial" w:hAnsi="Arial"/>
                  <w:b/>
                  <w:bCs/>
                  <w:noProof w:val="0"/>
                  <w:sz w:val="26"/>
                  <w:szCs w:val="26"/>
                  <w:rtl/>
                </w:rPr>
                <w:alias w:val="3151"/>
                <w:tag w:val="3151"/>
                <w:id w:val="1398553265"/>
                <w:placeholder>
                  <w:docPart w:val="2D127218B6CD4F2CBE8EEA5CB2250DC1"/>
                </w:placeholder>
                <w:text w:multiLine="1"/>
              </w:sdtPr>
              <w:sdtEndPr/>
              <w:sdtContent>
                <w:r w:rsidR="00DC0838">
                  <w:rPr>
                    <w:rFonts w:ascii="Arial" w:hAnsi="Arial" w:hint="cs"/>
                    <w:b/>
                    <w:bCs/>
                    <w:noProof w:val="0"/>
                    <w:sz w:val="26"/>
                    <w:szCs w:val="26"/>
                    <w:rtl/>
                  </w:rPr>
                  <w:t>מ' מ'</w:t>
                </w:r>
              </w:sdtContent>
            </w:sdt>
          </w:p>
          <w:p w:rsidR="00297CB1" w:rsidRDefault="00297CB1">
            <w:pPr>
              <w:suppressLineNumbers/>
              <w:rPr>
                <w:b/>
                <w:bCs/>
                <w:noProof w:val="0"/>
                <w:sz w:val="26"/>
                <w:szCs w:val="26"/>
                <w:rtl/>
              </w:rPr>
            </w:pPr>
            <w:r>
              <w:rPr>
                <w:rFonts w:ascii="Arial" w:hAnsi="Arial"/>
                <w:b/>
                <w:bCs/>
                <w:rtl/>
              </w:rPr>
              <w:t xml:space="preserve"> </w:t>
            </w:r>
            <w:r>
              <w:rPr>
                <w:rFonts w:ascii="Arial" w:hAnsi="Arial"/>
                <w:b/>
                <w:bCs/>
                <w:noProof w:val="0"/>
                <w:sz w:val="26"/>
                <w:szCs w:val="26"/>
                <w:rtl/>
              </w:rPr>
              <w:t>ע"י ב"כ עוה"ד</w:t>
            </w:r>
            <w:r>
              <w:rPr>
                <w:b/>
                <w:bCs/>
                <w:noProof w:val="0"/>
                <w:sz w:val="26"/>
                <w:szCs w:val="26"/>
                <w:rtl/>
              </w:rPr>
              <w:t xml:space="preserve"> מ. פלסנר</w:t>
            </w:r>
          </w:p>
        </w:tc>
      </w:tr>
      <w:tr w:rsidR="00297CB1" w:rsidTr="00297CB1">
        <w:trPr>
          <w:jc w:val="center"/>
        </w:trPr>
        <w:tc>
          <w:tcPr>
            <w:tcW w:w="8820" w:type="dxa"/>
            <w:gridSpan w:val="3"/>
          </w:tcPr>
          <w:p w:rsidR="00297CB1" w:rsidRDefault="00297CB1">
            <w:pPr>
              <w:suppressLineNumbers/>
              <w:rPr>
                <w:rFonts w:ascii="Arial" w:hAnsi="Arial"/>
                <w:b/>
                <w:bCs/>
                <w:noProof w:val="0"/>
                <w:sz w:val="26"/>
                <w:szCs w:val="26"/>
              </w:rPr>
            </w:pPr>
          </w:p>
          <w:p w:rsidR="00297CB1" w:rsidRDefault="00297CB1">
            <w:pPr>
              <w:suppressLineNumbers/>
              <w:jc w:val="center"/>
              <w:rPr>
                <w:rFonts w:ascii="Arial" w:hAnsi="Arial"/>
                <w:b/>
                <w:bCs/>
                <w:noProof w:val="0"/>
                <w:sz w:val="26"/>
                <w:szCs w:val="26"/>
                <w:rtl/>
              </w:rPr>
            </w:pPr>
            <w:r>
              <w:rPr>
                <w:rFonts w:ascii="Arial" w:hAnsi="Arial"/>
                <w:b/>
                <w:bCs/>
                <w:noProof w:val="0"/>
                <w:sz w:val="26"/>
                <w:szCs w:val="26"/>
                <w:rtl/>
              </w:rPr>
              <w:t>נגד</w:t>
            </w:r>
          </w:p>
          <w:p w:rsidR="00297CB1" w:rsidRDefault="00297CB1">
            <w:pPr>
              <w:suppressLineNumbers/>
              <w:rPr>
                <w:rFonts w:ascii="Arial" w:hAnsi="Arial"/>
                <w:b/>
                <w:bCs/>
                <w:noProof w:val="0"/>
                <w:sz w:val="26"/>
                <w:szCs w:val="26"/>
                <w:rtl/>
              </w:rPr>
            </w:pPr>
          </w:p>
        </w:tc>
      </w:tr>
      <w:tr w:rsidR="00297CB1" w:rsidTr="00297CB1">
        <w:trPr>
          <w:jc w:val="center"/>
        </w:trPr>
        <w:tc>
          <w:tcPr>
            <w:tcW w:w="3249" w:type="dxa"/>
            <w:gridSpan w:val="2"/>
            <w:hideMark/>
          </w:tcPr>
          <w:p w:rsidR="00297CB1" w:rsidRDefault="0020243B">
            <w:pPr>
              <w:suppressLineNumbers/>
              <w:rPr>
                <w:rFonts w:ascii="Arial" w:hAnsi="Arial"/>
                <w:b/>
                <w:bCs/>
                <w:noProof w:val="0"/>
                <w:sz w:val="26"/>
                <w:szCs w:val="26"/>
              </w:rPr>
            </w:pPr>
            <w:sdt>
              <w:sdtPr>
                <w:rPr>
                  <w:rtl/>
                </w:rPr>
                <w:alias w:val="1184"/>
                <w:tag w:val="1184"/>
                <w:id w:val="-340621022"/>
                <w:text w:multiLine="1"/>
              </w:sdtPr>
              <w:sdtEndPr/>
              <w:sdtContent>
                <w:r w:rsidR="00297CB1">
                  <w:rPr>
                    <w:rFonts w:ascii="Arial" w:hAnsi="Arial"/>
                    <w:b/>
                    <w:bCs/>
                    <w:noProof w:val="0"/>
                    <w:sz w:val="26"/>
                    <w:szCs w:val="26"/>
                    <w:rtl/>
                  </w:rPr>
                  <w:t>המשיב</w:t>
                </w:r>
              </w:sdtContent>
            </w:sdt>
          </w:p>
        </w:tc>
        <w:tc>
          <w:tcPr>
            <w:tcW w:w="5571" w:type="dxa"/>
            <w:hideMark/>
          </w:tcPr>
          <w:p w:rsidR="00297CB1" w:rsidRDefault="00297CB1">
            <w:pPr>
              <w:suppressLineNumbers/>
            </w:pPr>
            <w:r>
              <w:rPr>
                <w:rFonts w:ascii="Arial" w:hAnsi="Arial"/>
                <w:b/>
                <w:bCs/>
                <w:noProof w:val="0"/>
                <w:sz w:val="26"/>
                <w:szCs w:val="26"/>
                <w:rtl/>
              </w:rPr>
              <w:t xml:space="preserve"> </w:t>
            </w:r>
            <w:sdt>
              <w:sdtPr>
                <w:rPr>
                  <w:rFonts w:ascii="Arial" w:hAnsi="Arial"/>
                  <w:b/>
                  <w:bCs/>
                  <w:noProof w:val="0"/>
                  <w:sz w:val="28"/>
                  <w:szCs w:val="28"/>
                  <w:rtl/>
                </w:rPr>
                <w:alias w:val="3152"/>
                <w:tag w:val="3152"/>
                <w:id w:val="1920052440"/>
                <w:placeholder>
                  <w:docPart w:val="DDC48FD51AB648F88D3DCE8C05FC65A9"/>
                </w:placeholder>
                <w:text w:multiLine="1"/>
              </w:sdtPr>
              <w:sdtEndPr/>
              <w:sdtContent>
                <w:r w:rsidR="00DC0838">
                  <w:rPr>
                    <w:rFonts w:ascii="Arial" w:hAnsi="Arial" w:hint="cs"/>
                    <w:b/>
                    <w:bCs/>
                    <w:noProof w:val="0"/>
                    <w:sz w:val="28"/>
                    <w:szCs w:val="28"/>
                    <w:rtl/>
                  </w:rPr>
                  <w:t xml:space="preserve">מ' ע' </w:t>
                </w:r>
                <w:r>
                  <w:rPr>
                    <w:rFonts w:ascii="Arial" w:hAnsi="Arial"/>
                    <w:b/>
                    <w:bCs/>
                    <w:noProof w:val="0"/>
                    <w:sz w:val="28"/>
                    <w:szCs w:val="28"/>
                    <w:rtl/>
                  </w:rPr>
                  <w:br/>
                </w:r>
              </w:sdtContent>
            </w:sdt>
            <w:r>
              <w:rPr>
                <w:sz w:val="28"/>
                <w:szCs w:val="28"/>
                <w:rtl/>
              </w:rPr>
              <w:t xml:space="preserve"> </w:t>
            </w:r>
            <w:r>
              <w:rPr>
                <w:rFonts w:ascii="Arial" w:hAnsi="Arial"/>
                <w:b/>
                <w:bCs/>
                <w:noProof w:val="0"/>
                <w:sz w:val="28"/>
                <w:szCs w:val="28"/>
                <w:rtl/>
              </w:rPr>
              <w:t>ע"י ב"כ עוה"ד</w:t>
            </w:r>
            <w:r>
              <w:rPr>
                <w:sz w:val="28"/>
                <w:szCs w:val="28"/>
                <w:rtl/>
              </w:rPr>
              <w:t xml:space="preserve"> </w:t>
            </w:r>
            <w:r>
              <w:rPr>
                <w:b/>
                <w:bCs/>
                <w:sz w:val="28"/>
                <w:szCs w:val="28"/>
                <w:rtl/>
              </w:rPr>
              <w:t>ק. וינברג</w:t>
            </w:r>
          </w:p>
        </w:tc>
      </w:tr>
      <w:tr w:rsidR="00297CB1" w:rsidTr="00297CB1">
        <w:trPr>
          <w:jc w:val="center"/>
        </w:trPr>
        <w:tc>
          <w:tcPr>
            <w:tcW w:w="8820" w:type="dxa"/>
            <w:gridSpan w:val="3"/>
          </w:tcPr>
          <w:p w:rsidR="00297CB1" w:rsidRDefault="00297CB1">
            <w:pPr>
              <w:suppressLineNumbers/>
              <w:rPr>
                <w:rFonts w:ascii="Arial" w:hAnsi="Arial"/>
                <w:b/>
                <w:bCs/>
                <w:noProof w:val="0"/>
                <w:sz w:val="26"/>
                <w:szCs w:val="26"/>
                <w:rtl/>
              </w:rPr>
            </w:pPr>
          </w:p>
          <w:p w:rsidR="00297CB1" w:rsidRDefault="00297CB1">
            <w:pPr>
              <w:suppressLineNumbers/>
              <w:rPr>
                <w:rFonts w:ascii="Arial" w:hAnsi="Arial"/>
                <w:b/>
                <w:bCs/>
                <w:noProof w:val="0"/>
                <w:sz w:val="26"/>
                <w:szCs w:val="26"/>
                <w:rtl/>
              </w:rPr>
            </w:pPr>
          </w:p>
        </w:tc>
      </w:tr>
    </w:tbl>
    <w:p w:rsidR="00297CB1" w:rsidRDefault="00297CB1" w:rsidP="00297CB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7CB1" w:rsidTr="00297CB1">
        <w:trPr>
          <w:jc w:val="center"/>
        </w:trPr>
        <w:tc>
          <w:tcPr>
            <w:tcW w:w="8820" w:type="dxa"/>
          </w:tcPr>
          <w:p w:rsidR="00297CB1" w:rsidRDefault="00297CB1">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297CB1" w:rsidRDefault="00297CB1">
            <w:pPr>
              <w:bidi w:val="0"/>
              <w:jc w:val="center"/>
              <w:rPr>
                <w:rFonts w:ascii="Arial" w:hAnsi="Arial"/>
                <w:b/>
                <w:bCs/>
                <w:noProof w:val="0"/>
                <w:sz w:val="28"/>
                <w:szCs w:val="28"/>
                <w:u w:val="single"/>
                <w:rtl/>
              </w:rPr>
            </w:pPr>
          </w:p>
        </w:tc>
      </w:tr>
    </w:tbl>
    <w:p w:rsidR="00297CB1" w:rsidRDefault="00297CB1" w:rsidP="00297CB1">
      <w:pPr>
        <w:spacing w:line="360" w:lineRule="auto"/>
        <w:jc w:val="both"/>
        <w:rPr>
          <w:rFonts w:ascii="David" w:hAnsi="David"/>
          <w:noProof w:val="0"/>
        </w:rPr>
      </w:pPr>
      <w:bookmarkStart w:id="1" w:name="NGCSBookmark"/>
      <w:bookmarkEnd w:id="1"/>
      <w:r>
        <w:rPr>
          <w:rFonts w:ascii="David" w:hAnsi="David"/>
          <w:rtl/>
        </w:rPr>
        <w:t>בקשת רשות ערעור על החלטת בית משפט לענייני משפחה בחדרה (כב' השופטת יפעת שקדי שץ) בתה"</w:t>
      </w:r>
      <w:r w:rsidR="00DC0838">
        <w:rPr>
          <w:rFonts w:ascii="David" w:hAnsi="David"/>
          <w:rtl/>
        </w:rPr>
        <w:t xml:space="preserve">ס 45118-03-23 מיום 04.04.2023 </w:t>
      </w:r>
      <w:r>
        <w:rPr>
          <w:rFonts w:ascii="David" w:hAnsi="David"/>
          <w:rtl/>
        </w:rPr>
        <w:t>שניתנה בבקשת המשיב למתן צו עשה המורה ע</w:t>
      </w:r>
      <w:r w:rsidR="00DC0838">
        <w:rPr>
          <w:rFonts w:ascii="David" w:hAnsi="David"/>
          <w:rtl/>
        </w:rPr>
        <w:t>ל השבת בנם הקטין של הצדדים ל</w:t>
      </w:r>
      <w:r w:rsidR="00DC0838">
        <w:rPr>
          <w:rFonts w:ascii="David" w:hAnsi="David" w:hint="cs"/>
          <w:rtl/>
        </w:rPr>
        <w:t>ישוב ד',</w:t>
      </w:r>
      <w:r>
        <w:rPr>
          <w:rFonts w:ascii="David" w:hAnsi="David"/>
          <w:rtl/>
        </w:rPr>
        <w:t xml:space="preserve"> וכן לצו מניעה האוסר העתקת מקום מגוריו </w:t>
      </w:r>
      <w:r w:rsidR="00DC0838">
        <w:rPr>
          <w:rFonts w:ascii="David" w:hAnsi="David" w:hint="cs"/>
          <w:rtl/>
        </w:rPr>
        <w:t>ו</w:t>
      </w:r>
      <w:r>
        <w:rPr>
          <w:rFonts w:ascii="David" w:hAnsi="David"/>
          <w:rtl/>
        </w:rPr>
        <w:t xml:space="preserve">רישומו למסגרת חינוכית. </w:t>
      </w:r>
    </w:p>
    <w:p w:rsidR="00297CB1" w:rsidRDefault="00297CB1" w:rsidP="00297CB1">
      <w:pPr>
        <w:spacing w:line="360" w:lineRule="auto"/>
        <w:jc w:val="both"/>
        <w:rPr>
          <w:rFonts w:ascii="David" w:hAnsi="David"/>
          <w:noProof w:val="0"/>
          <w:rtl/>
        </w:rPr>
      </w:pPr>
    </w:p>
    <w:p w:rsidR="00297CB1" w:rsidRDefault="00297CB1" w:rsidP="00297CB1">
      <w:pPr>
        <w:spacing w:line="360" w:lineRule="auto"/>
        <w:jc w:val="both"/>
        <w:rPr>
          <w:rFonts w:ascii="David" w:hAnsi="David"/>
          <w:b/>
          <w:bCs/>
          <w:u w:val="single"/>
        </w:rPr>
      </w:pPr>
      <w:r>
        <w:rPr>
          <w:rFonts w:ascii="David" w:hAnsi="David"/>
          <w:b/>
          <w:bCs/>
          <w:u w:val="single"/>
          <w:rtl/>
        </w:rPr>
        <w:t>העובדות הצריכות לענייננו:</w:t>
      </w:r>
    </w:p>
    <w:p w:rsidR="00297CB1" w:rsidRDefault="00297CB1" w:rsidP="00297CB1">
      <w:pPr>
        <w:spacing w:line="360" w:lineRule="auto"/>
        <w:jc w:val="both"/>
        <w:rPr>
          <w:rFonts w:ascii="David" w:hAnsi="David"/>
          <w:b/>
          <w:bCs/>
          <w:u w:val="single"/>
          <w:rtl/>
        </w:rPr>
      </w:pPr>
    </w:p>
    <w:p w:rsidR="00297CB1" w:rsidRDefault="00297CB1" w:rsidP="00297CB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הצדדים הם </w:t>
      </w:r>
      <w:r w:rsidR="00DC0838">
        <w:rPr>
          <w:rFonts w:ascii="David" w:hAnsi="David" w:cs="David"/>
          <w:sz w:val="24"/>
          <w:szCs w:val="24"/>
          <w:rtl/>
        </w:rPr>
        <w:t>הוריו של הקטין ר</w:t>
      </w:r>
      <w:r w:rsidR="00DC0838">
        <w:rPr>
          <w:rFonts w:ascii="David" w:hAnsi="David" w:cs="David" w:hint="cs"/>
          <w:sz w:val="24"/>
          <w:szCs w:val="24"/>
          <w:rtl/>
        </w:rPr>
        <w:t>'</w:t>
      </w:r>
      <w:r>
        <w:rPr>
          <w:rFonts w:ascii="David" w:hAnsi="David" w:cs="David"/>
          <w:sz w:val="24"/>
          <w:szCs w:val="24"/>
          <w:rtl/>
        </w:rPr>
        <w:t>, יליד ספטמבר 2020.</w:t>
      </w:r>
    </w:p>
    <w:p w:rsidR="00297CB1" w:rsidRDefault="00297CB1" w:rsidP="00297CB1">
      <w:pPr>
        <w:pStyle w:val="ad"/>
        <w:spacing w:line="360" w:lineRule="auto"/>
        <w:jc w:val="both"/>
        <w:rPr>
          <w:rFonts w:ascii="David" w:hAnsi="David" w:cs="David"/>
          <w:sz w:val="24"/>
          <w:szCs w:val="24"/>
          <w:rtl/>
        </w:rPr>
      </w:pPr>
    </w:p>
    <w:p w:rsidR="00297CB1" w:rsidRDefault="00297CB1" w:rsidP="00297CB1">
      <w:pPr>
        <w:pStyle w:val="ad"/>
        <w:numPr>
          <w:ilvl w:val="0"/>
          <w:numId w:val="1"/>
        </w:numPr>
        <w:spacing w:line="360" w:lineRule="auto"/>
        <w:jc w:val="both"/>
        <w:rPr>
          <w:rFonts w:ascii="David" w:hAnsi="David" w:cs="David"/>
          <w:sz w:val="24"/>
          <w:szCs w:val="24"/>
        </w:rPr>
      </w:pPr>
      <w:r>
        <w:rPr>
          <w:rFonts w:ascii="David" w:hAnsi="David" w:cs="David"/>
          <w:sz w:val="24"/>
          <w:szCs w:val="24"/>
          <w:rtl/>
        </w:rPr>
        <w:t>ביום 19.06.2022 ערכו הצדדים "הסכם שלום בית ולחילופין גירושין" (להלן: "</w:t>
      </w:r>
      <w:r>
        <w:rPr>
          <w:rFonts w:ascii="David" w:hAnsi="David" w:cs="David"/>
          <w:b/>
          <w:bCs/>
          <w:sz w:val="24"/>
          <w:szCs w:val="24"/>
          <w:rtl/>
        </w:rPr>
        <w:t>ההסכם</w:t>
      </w:r>
      <w:r>
        <w:rPr>
          <w:rFonts w:ascii="David" w:hAnsi="David" w:cs="David"/>
          <w:sz w:val="24"/>
          <w:szCs w:val="24"/>
          <w:rtl/>
        </w:rPr>
        <w:t xml:space="preserve">"), וזה אושר וקיבל תוקף של פסק דין ביום 31.07.2022. </w:t>
      </w:r>
    </w:p>
    <w:p w:rsidR="00297CB1" w:rsidRDefault="00297CB1" w:rsidP="00297CB1">
      <w:pPr>
        <w:pStyle w:val="ad"/>
        <w:rPr>
          <w:rFonts w:ascii="David" w:hAnsi="David" w:cs="David"/>
          <w:sz w:val="24"/>
          <w:szCs w:val="24"/>
        </w:rPr>
      </w:pPr>
    </w:p>
    <w:p w:rsidR="00297CB1" w:rsidRDefault="00DC0838" w:rsidP="00297CB1">
      <w:pPr>
        <w:pStyle w:val="ad"/>
        <w:numPr>
          <w:ilvl w:val="0"/>
          <w:numId w:val="1"/>
        </w:numPr>
        <w:spacing w:line="360" w:lineRule="auto"/>
        <w:jc w:val="both"/>
        <w:rPr>
          <w:rFonts w:ascii="David" w:hAnsi="David" w:cs="David"/>
          <w:sz w:val="24"/>
          <w:szCs w:val="24"/>
        </w:rPr>
      </w:pPr>
      <w:r>
        <w:rPr>
          <w:rFonts w:ascii="David" w:hAnsi="David" w:cs="David"/>
          <w:sz w:val="24"/>
          <w:szCs w:val="24"/>
          <w:rtl/>
        </w:rPr>
        <w:t>בהתאם להסכם</w:t>
      </w:r>
      <w:r>
        <w:rPr>
          <w:rFonts w:ascii="David" w:hAnsi="David" w:cs="David" w:hint="cs"/>
          <w:sz w:val="24"/>
          <w:szCs w:val="24"/>
          <w:rtl/>
        </w:rPr>
        <w:t xml:space="preserve">, </w:t>
      </w:r>
      <w:r w:rsidR="00297CB1">
        <w:rPr>
          <w:rFonts w:ascii="David" w:hAnsi="David" w:cs="David"/>
          <w:sz w:val="24"/>
          <w:szCs w:val="24"/>
          <w:rtl/>
        </w:rPr>
        <w:t>במקרה של פרידה הקטין יהיה במשמורת פיזית ותחת אחריות הורית משותפת עד הגיעו לגיל 18 שנים. זמני השהות פורטו בסעיף 24 להסכם. עוד הוס</w:t>
      </w:r>
      <w:r>
        <w:rPr>
          <w:rFonts w:ascii="David" w:hAnsi="David" w:cs="David"/>
          <w:sz w:val="24"/>
          <w:szCs w:val="24"/>
          <w:rtl/>
        </w:rPr>
        <w:t>כם שמרכז חייו של הקטין יה</w:t>
      </w:r>
      <w:r>
        <w:rPr>
          <w:rFonts w:ascii="David" w:hAnsi="David" w:cs="David" w:hint="cs"/>
          <w:sz w:val="24"/>
          <w:szCs w:val="24"/>
          <w:rtl/>
        </w:rPr>
        <w:t>א בישוב ד'</w:t>
      </w:r>
      <w:r w:rsidR="00297CB1">
        <w:rPr>
          <w:rFonts w:ascii="David" w:hAnsi="David" w:cs="David"/>
          <w:sz w:val="24"/>
          <w:szCs w:val="24"/>
          <w:rtl/>
        </w:rPr>
        <w:t xml:space="preserve">. בסעיף 45 להסכם, נקבע כי כל אחד מיחידי הצדדים רשאי להתגורר בתחום שבין הערים חדרה-נתניה וכי במצב של מעבר מגורים, הקטין ימשיך ללמוד במוסד החינוכי בו למד קודם. </w:t>
      </w:r>
    </w:p>
    <w:p w:rsidR="00297CB1" w:rsidRDefault="00297CB1" w:rsidP="00297CB1">
      <w:pPr>
        <w:pStyle w:val="ad"/>
        <w:spacing w:line="360" w:lineRule="auto"/>
        <w:jc w:val="both"/>
        <w:rPr>
          <w:rFonts w:ascii="David" w:hAnsi="David" w:cs="David"/>
          <w:sz w:val="24"/>
          <w:szCs w:val="24"/>
          <w:rtl/>
        </w:rPr>
      </w:pPr>
    </w:p>
    <w:p w:rsidR="00297CB1" w:rsidRDefault="00297CB1" w:rsidP="00297CB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20.03.2023 הגיש המשיב במסגרת תביעה לאכיפת ההסכם בקשה למתן צו </w:t>
      </w:r>
      <w:r w:rsidR="00DC0838">
        <w:rPr>
          <w:rFonts w:ascii="David" w:hAnsi="David" w:cs="David"/>
          <w:sz w:val="24"/>
          <w:szCs w:val="24"/>
          <w:rtl/>
        </w:rPr>
        <w:t>עשה אשר מורה על השבת הקטין ל</w:t>
      </w:r>
      <w:r w:rsidR="00DC0838">
        <w:rPr>
          <w:rFonts w:ascii="David" w:hAnsi="David" w:cs="David" w:hint="cs"/>
          <w:sz w:val="24"/>
          <w:szCs w:val="24"/>
          <w:rtl/>
        </w:rPr>
        <w:t>ישוב ד'</w:t>
      </w:r>
      <w:r>
        <w:rPr>
          <w:rFonts w:ascii="David" w:hAnsi="David" w:cs="David"/>
          <w:sz w:val="24"/>
          <w:szCs w:val="24"/>
          <w:rtl/>
        </w:rPr>
        <w:t xml:space="preserve">, צו מניעה בעניין העתקת מקום מגוריו וכן צו האוסר על רישומו למסגרת חינוכית, זאת לאחר שהמשיבה עברה להתגורר עם הקטין בבית הוריה </w:t>
      </w:r>
      <w:r w:rsidR="00DC0838">
        <w:rPr>
          <w:rFonts w:ascii="David" w:hAnsi="David" w:cs="David"/>
          <w:sz w:val="24"/>
          <w:szCs w:val="24"/>
          <w:rtl/>
        </w:rPr>
        <w:t>ב</w:t>
      </w:r>
      <w:r w:rsidR="00DC0838">
        <w:rPr>
          <w:rFonts w:ascii="David" w:hAnsi="David" w:cs="David" w:hint="cs"/>
          <w:sz w:val="24"/>
          <w:szCs w:val="24"/>
          <w:rtl/>
        </w:rPr>
        <w:t>ישוב</w:t>
      </w:r>
      <w:r w:rsidR="00DC0838">
        <w:rPr>
          <w:rFonts w:ascii="David" w:hAnsi="David" w:cs="David"/>
          <w:sz w:val="24"/>
          <w:szCs w:val="24"/>
          <w:rtl/>
        </w:rPr>
        <w:t xml:space="preserve"> </w:t>
      </w:r>
      <w:r w:rsidR="00DC0838">
        <w:rPr>
          <w:rFonts w:ascii="David" w:hAnsi="David" w:cs="David" w:hint="cs"/>
          <w:sz w:val="24"/>
          <w:szCs w:val="24"/>
          <w:rtl/>
        </w:rPr>
        <w:t>ק' במרכז</w:t>
      </w:r>
      <w:r>
        <w:rPr>
          <w:rFonts w:ascii="David" w:hAnsi="David" w:cs="David"/>
          <w:sz w:val="24"/>
          <w:szCs w:val="24"/>
          <w:rtl/>
        </w:rPr>
        <w:t>.</w:t>
      </w:r>
    </w:p>
    <w:p w:rsidR="00297CB1" w:rsidRDefault="00297CB1" w:rsidP="00297CB1">
      <w:pPr>
        <w:pStyle w:val="ad"/>
        <w:spacing w:line="360" w:lineRule="auto"/>
        <w:jc w:val="both"/>
        <w:rPr>
          <w:rFonts w:ascii="David" w:hAnsi="David" w:cs="David"/>
          <w:sz w:val="24"/>
          <w:szCs w:val="24"/>
        </w:rPr>
      </w:pPr>
    </w:p>
    <w:p w:rsidR="00297CB1" w:rsidRDefault="00297CB1" w:rsidP="00297CB1">
      <w:pPr>
        <w:pStyle w:val="ad"/>
        <w:numPr>
          <w:ilvl w:val="0"/>
          <w:numId w:val="1"/>
        </w:numPr>
        <w:spacing w:line="360" w:lineRule="auto"/>
        <w:jc w:val="both"/>
        <w:rPr>
          <w:rFonts w:ascii="David" w:hAnsi="David" w:cs="David"/>
          <w:sz w:val="24"/>
          <w:szCs w:val="24"/>
          <w:rtl/>
        </w:rPr>
      </w:pPr>
      <w:r>
        <w:rPr>
          <w:rFonts w:ascii="David" w:hAnsi="David" w:cs="David"/>
          <w:sz w:val="24"/>
          <w:szCs w:val="24"/>
          <w:rtl/>
        </w:rPr>
        <w:t>בהחלטת בית משפט קמא מושא בקשת רשות הערעור נקבע:</w:t>
      </w:r>
    </w:p>
    <w:p w:rsidR="00297CB1" w:rsidRDefault="00297CB1" w:rsidP="00297CB1">
      <w:pPr>
        <w:pStyle w:val="ad"/>
        <w:rPr>
          <w:rFonts w:ascii="David" w:hAnsi="David" w:cs="David"/>
          <w:sz w:val="24"/>
          <w:szCs w:val="24"/>
        </w:rPr>
      </w:pPr>
    </w:p>
    <w:p w:rsidR="00297CB1" w:rsidRDefault="00297CB1" w:rsidP="00297CB1">
      <w:pPr>
        <w:pStyle w:val="ad"/>
        <w:numPr>
          <w:ilvl w:val="0"/>
          <w:numId w:val="2"/>
        </w:numPr>
        <w:spacing w:line="360" w:lineRule="auto"/>
        <w:jc w:val="both"/>
        <w:rPr>
          <w:rFonts w:ascii="David" w:hAnsi="David" w:cs="David"/>
          <w:sz w:val="24"/>
          <w:szCs w:val="24"/>
        </w:rPr>
      </w:pPr>
      <w:r>
        <w:rPr>
          <w:rFonts w:ascii="David" w:hAnsi="David" w:cs="David"/>
          <w:sz w:val="24"/>
          <w:szCs w:val="24"/>
          <w:rtl/>
        </w:rPr>
        <w:t>בשלב זה, ועד להחלטה שיפוטית אחרת - האם תשוב להתגורר בטווח הקבוע בהוראות סעיף 45 להסכם וכי המועד לביצוע האמור נקבע ליום 1.6.2023.</w:t>
      </w:r>
    </w:p>
    <w:p w:rsidR="00297CB1" w:rsidRDefault="00297CB1" w:rsidP="00297CB1">
      <w:pPr>
        <w:pStyle w:val="ad"/>
        <w:numPr>
          <w:ilvl w:val="0"/>
          <w:numId w:val="2"/>
        </w:numPr>
        <w:spacing w:line="360" w:lineRule="auto"/>
        <w:jc w:val="both"/>
        <w:rPr>
          <w:rFonts w:ascii="David" w:hAnsi="David" w:cs="David"/>
          <w:sz w:val="24"/>
          <w:szCs w:val="24"/>
          <w:rtl/>
        </w:rPr>
      </w:pPr>
      <w:r>
        <w:rPr>
          <w:rFonts w:ascii="David" w:hAnsi="David" w:cs="David"/>
          <w:sz w:val="24"/>
          <w:szCs w:val="24"/>
          <w:rtl/>
        </w:rPr>
        <w:t>החל מיום 16.04.2023 זמני השהות יתקיימו בהתאם להוראות סעיף 24 להסכם.</w:t>
      </w:r>
    </w:p>
    <w:p w:rsidR="00297CB1" w:rsidRDefault="00297CB1" w:rsidP="00297CB1">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על האב מוטלת החובה להיערך לקיום זמני השהות עם הקטין באופן אשר מותאם לקטין, לצרכיו ולגילו. </w:t>
      </w:r>
    </w:p>
    <w:p w:rsidR="00297CB1" w:rsidRDefault="00297CB1" w:rsidP="00297CB1">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המסגרת החינוכית תיקבע על ידי הצדדים בהסכמה וככל </w:t>
      </w:r>
      <w:r w:rsidR="00DC0838">
        <w:rPr>
          <w:rFonts w:ascii="David" w:hAnsi="David" w:cs="David"/>
          <w:sz w:val="24"/>
          <w:szCs w:val="24"/>
          <w:rtl/>
        </w:rPr>
        <w:t>שתבחר האם לא לשוב ולהתגורר ב</w:t>
      </w:r>
      <w:r w:rsidR="00DC0838">
        <w:rPr>
          <w:rFonts w:ascii="David" w:hAnsi="David" w:cs="David" w:hint="cs"/>
          <w:sz w:val="24"/>
          <w:szCs w:val="24"/>
          <w:rtl/>
        </w:rPr>
        <w:t>ישוב ד'</w:t>
      </w:r>
      <w:r>
        <w:rPr>
          <w:rFonts w:ascii="David" w:hAnsi="David" w:cs="David"/>
          <w:sz w:val="24"/>
          <w:szCs w:val="24"/>
          <w:rtl/>
        </w:rPr>
        <w:t xml:space="preserve">, תוגש בקשה והעניין יוכרע על ידי בית משפט קמא. </w:t>
      </w:r>
    </w:p>
    <w:p w:rsidR="00297CB1" w:rsidRDefault="00297CB1" w:rsidP="00297CB1">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באשר לחג הפסח, חלוקת זמני השהות תהיה בהתאם לסעיף 28 להסכם ושעת המעבר תהיה בהתאם להוראות סעיף 29 להסכם. </w:t>
      </w:r>
    </w:p>
    <w:p w:rsidR="00297CB1" w:rsidRDefault="00297CB1" w:rsidP="00297CB1">
      <w:pPr>
        <w:pStyle w:val="ad"/>
        <w:spacing w:line="360" w:lineRule="auto"/>
        <w:ind w:left="1440"/>
        <w:jc w:val="both"/>
        <w:rPr>
          <w:rFonts w:ascii="David" w:hAnsi="David" w:cs="David"/>
          <w:sz w:val="24"/>
          <w:szCs w:val="24"/>
        </w:rPr>
      </w:pPr>
    </w:p>
    <w:p w:rsidR="00297CB1" w:rsidRDefault="00297CB1" w:rsidP="00297CB1">
      <w:pPr>
        <w:pStyle w:val="ad"/>
        <w:numPr>
          <w:ilvl w:val="0"/>
          <w:numId w:val="1"/>
        </w:numPr>
        <w:spacing w:line="360" w:lineRule="auto"/>
        <w:jc w:val="both"/>
        <w:rPr>
          <w:rFonts w:ascii="David" w:hAnsi="David" w:cs="David"/>
          <w:sz w:val="24"/>
          <w:szCs w:val="24"/>
        </w:rPr>
      </w:pPr>
      <w:r>
        <w:rPr>
          <w:rFonts w:ascii="David" w:hAnsi="David" w:cs="David"/>
          <w:sz w:val="24"/>
          <w:szCs w:val="24"/>
          <w:rtl/>
        </w:rPr>
        <w:t>ביום 16.04.2023 הגישה המבקשת בקשה לעיון מחדש בהחלטה, אשר נדחתה ביום 05.05.2023 (להלן:</w:t>
      </w:r>
      <w:r>
        <w:rPr>
          <w:rFonts w:ascii="David" w:hAnsi="David" w:cs="David"/>
          <w:b/>
          <w:bCs/>
          <w:sz w:val="24"/>
          <w:szCs w:val="24"/>
          <w:rtl/>
        </w:rPr>
        <w:t>"ההחלטה"</w:t>
      </w:r>
      <w:r>
        <w:rPr>
          <w:rFonts w:ascii="David" w:hAnsi="David" w:cs="David"/>
          <w:sz w:val="24"/>
          <w:szCs w:val="24"/>
          <w:rtl/>
        </w:rPr>
        <w:t xml:space="preserve">). </w:t>
      </w:r>
    </w:p>
    <w:p w:rsidR="00297CB1" w:rsidRDefault="00297CB1" w:rsidP="00297CB1">
      <w:pPr>
        <w:pStyle w:val="ad"/>
        <w:rPr>
          <w:rFonts w:ascii="David" w:hAnsi="David" w:cs="David"/>
          <w:sz w:val="24"/>
          <w:szCs w:val="24"/>
        </w:rPr>
      </w:pPr>
    </w:p>
    <w:p w:rsidR="00297CB1" w:rsidRDefault="00297CB1" w:rsidP="00297CB1">
      <w:pPr>
        <w:pStyle w:val="ad"/>
        <w:numPr>
          <w:ilvl w:val="0"/>
          <w:numId w:val="1"/>
        </w:numPr>
        <w:spacing w:line="360" w:lineRule="auto"/>
        <w:jc w:val="both"/>
        <w:rPr>
          <w:rFonts w:ascii="David" w:hAnsi="David" w:cs="David"/>
          <w:sz w:val="24"/>
          <w:szCs w:val="24"/>
        </w:rPr>
      </w:pPr>
      <w:r>
        <w:rPr>
          <w:rFonts w:ascii="David" w:hAnsi="David" w:cs="David"/>
          <w:sz w:val="24"/>
          <w:szCs w:val="24"/>
          <w:rtl/>
        </w:rPr>
        <w:t>על ההחלטה מיום 04.04.2023, מלינה המבקשת בבקשה שלפניי.</w:t>
      </w:r>
    </w:p>
    <w:p w:rsidR="00297CB1" w:rsidRDefault="00297CB1" w:rsidP="00297CB1">
      <w:pPr>
        <w:pStyle w:val="ad"/>
        <w:rPr>
          <w:rFonts w:ascii="David" w:hAnsi="David" w:cs="David"/>
          <w:sz w:val="24"/>
          <w:szCs w:val="24"/>
        </w:rPr>
      </w:pPr>
    </w:p>
    <w:p w:rsidR="00297CB1" w:rsidRDefault="00DC0838" w:rsidP="00297CB1">
      <w:pPr>
        <w:pStyle w:val="ad"/>
        <w:numPr>
          <w:ilvl w:val="0"/>
          <w:numId w:val="1"/>
        </w:numPr>
        <w:spacing w:line="360" w:lineRule="auto"/>
        <w:jc w:val="both"/>
        <w:rPr>
          <w:rFonts w:ascii="David" w:hAnsi="David" w:cs="David"/>
          <w:sz w:val="24"/>
          <w:szCs w:val="24"/>
          <w:rtl/>
        </w:rPr>
      </w:pPr>
      <w:r>
        <w:rPr>
          <w:rFonts w:ascii="David" w:hAnsi="David" w:cs="David"/>
          <w:sz w:val="24"/>
          <w:szCs w:val="24"/>
          <w:rtl/>
        </w:rPr>
        <w:t>כאמ</w:t>
      </w:r>
      <w:r>
        <w:rPr>
          <w:rFonts w:ascii="David" w:hAnsi="David" w:cs="David" w:hint="cs"/>
          <w:sz w:val="24"/>
          <w:szCs w:val="24"/>
          <w:rtl/>
        </w:rPr>
        <w:t>ור</w:t>
      </w:r>
      <w:r w:rsidR="00297CB1">
        <w:rPr>
          <w:rFonts w:ascii="David" w:hAnsi="David" w:cs="David"/>
          <w:sz w:val="24"/>
          <w:szCs w:val="24"/>
          <w:rtl/>
        </w:rPr>
        <w:t>, ההחלטה מושא בקשת רשות הערעור ניתנה בגדרי התביעה שהגיש המשיב כנגד המבקשת לאכיפת הסכם, בפניה התגוננה המבקשת  בטענה כי אין להורות על אכיפתו וכי יש להצהיר על בטלותו. המבקשת טענה כי ההסכם נערך מחמת טעות, הטעיה, עושק, חוסר תם לב, כפיה וניצול מצוקתה, וכי דינו בטלות.</w:t>
      </w:r>
    </w:p>
    <w:p w:rsidR="00297CB1" w:rsidRDefault="00297CB1" w:rsidP="00297CB1">
      <w:pPr>
        <w:pStyle w:val="ad"/>
        <w:rPr>
          <w:rFonts w:ascii="David" w:hAnsi="David" w:cs="David"/>
          <w:sz w:val="24"/>
          <w:szCs w:val="24"/>
        </w:rPr>
      </w:pPr>
    </w:p>
    <w:p w:rsidR="00297CB1" w:rsidRDefault="00297CB1" w:rsidP="00297CB1">
      <w:pPr>
        <w:pStyle w:val="ad"/>
        <w:spacing w:line="360" w:lineRule="auto"/>
        <w:jc w:val="both"/>
        <w:rPr>
          <w:rFonts w:ascii="David" w:hAnsi="David" w:cs="David"/>
          <w:sz w:val="24"/>
          <w:szCs w:val="24"/>
          <w:rtl/>
        </w:rPr>
      </w:pPr>
      <w:r>
        <w:rPr>
          <w:rFonts w:ascii="David" w:hAnsi="David" w:cs="David"/>
          <w:sz w:val="24"/>
          <w:szCs w:val="24"/>
          <w:rtl/>
        </w:rPr>
        <w:t>מלבד תביעת המשיב לאכיפת ההסכם, בעניינם של הצדדים הוגשו שלוש תביעות נוספות:  תביעה למזונות קטין, תביעה לקביעת אחריות הורית בלעדית על הקטין, ותביעה לביטול ההסכם אותן הגישה המבקשת.</w:t>
      </w:r>
    </w:p>
    <w:p w:rsidR="00297CB1" w:rsidRDefault="00297CB1" w:rsidP="00297CB1">
      <w:pPr>
        <w:pStyle w:val="ad"/>
        <w:rPr>
          <w:rFonts w:ascii="David" w:hAnsi="David" w:cs="David"/>
          <w:sz w:val="24"/>
          <w:szCs w:val="24"/>
          <w:rtl/>
        </w:rPr>
      </w:pPr>
    </w:p>
    <w:p w:rsidR="00297CB1" w:rsidRDefault="00297CB1" w:rsidP="00297CB1">
      <w:pPr>
        <w:spacing w:line="360" w:lineRule="auto"/>
        <w:jc w:val="both"/>
        <w:rPr>
          <w:rFonts w:ascii="David" w:hAnsi="David"/>
          <w:b/>
          <w:bCs/>
          <w:u w:val="single"/>
        </w:rPr>
      </w:pPr>
      <w:r>
        <w:rPr>
          <w:rFonts w:ascii="David" w:hAnsi="David"/>
          <w:b/>
          <w:bCs/>
          <w:u w:val="single"/>
          <w:rtl/>
        </w:rPr>
        <w:t>בקשת רשות הערעור:</w:t>
      </w:r>
    </w:p>
    <w:p w:rsidR="00297CB1" w:rsidRDefault="00297CB1" w:rsidP="00297CB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המבקשת, ביום 04.04.2023 ובטרם התקבלה ההחלטה, הגישה המבקשת תביעה לביטול ההסכם במסגרת תלה"מ 21782-04-23. עוד טוענת כי בית משפט  קמא שגה כאשר התעלם מהראיות המוכיחות כי המשיב כפה על המבקשת לחתום על ההסכם. </w:t>
      </w:r>
    </w:p>
    <w:p w:rsidR="00297CB1" w:rsidRDefault="00297CB1" w:rsidP="00297CB1">
      <w:pPr>
        <w:pStyle w:val="ad"/>
        <w:spacing w:line="360" w:lineRule="auto"/>
        <w:jc w:val="both"/>
        <w:rPr>
          <w:rFonts w:ascii="David" w:hAnsi="David" w:cs="David"/>
          <w:sz w:val="24"/>
          <w:szCs w:val="24"/>
          <w:rtl/>
        </w:rPr>
      </w:pPr>
    </w:p>
    <w:p w:rsidR="00297CB1" w:rsidRDefault="00297CB1" w:rsidP="00297CB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לדידה של המבקשת, שגה בית משפט קמא כאשר קבע כי לא חל שינוי נסיבות המצדיק סטייה מהוראות ההסכם, שכן בעת חתימת ההסכם האמינה כי ההסכם הוא "הסכם מגירה" בלבד. </w:t>
      </w:r>
    </w:p>
    <w:p w:rsidR="00297CB1" w:rsidRDefault="00297CB1" w:rsidP="00297CB1">
      <w:pPr>
        <w:pStyle w:val="ad"/>
        <w:rPr>
          <w:rFonts w:ascii="David" w:hAnsi="David" w:cs="David"/>
          <w:sz w:val="24"/>
          <w:szCs w:val="24"/>
        </w:rPr>
      </w:pPr>
    </w:p>
    <w:p w:rsidR="00297CB1" w:rsidRDefault="00297CB1" w:rsidP="00297CB1">
      <w:pPr>
        <w:pStyle w:val="ad"/>
        <w:numPr>
          <w:ilvl w:val="0"/>
          <w:numId w:val="1"/>
        </w:numPr>
        <w:spacing w:line="360" w:lineRule="auto"/>
        <w:jc w:val="both"/>
        <w:rPr>
          <w:rFonts w:ascii="David" w:hAnsi="David" w:cs="David"/>
          <w:sz w:val="24"/>
          <w:szCs w:val="24"/>
        </w:rPr>
      </w:pPr>
      <w:r>
        <w:rPr>
          <w:rFonts w:ascii="David" w:hAnsi="David" w:cs="David"/>
          <w:sz w:val="24"/>
          <w:szCs w:val="24"/>
          <w:rtl/>
        </w:rPr>
        <w:t>יתרה מכך, טוענת המבקשת כי שגה בית משפט קמא משהורה לה לשוב ולהתגורר בטווח הקבוע בהתאם להוראות ההסכם, תוך התעלמות מטובת הקטין והתעלמות מיכולותיה הכלכליות של המבק</w:t>
      </w:r>
      <w:r w:rsidR="00DC0838">
        <w:rPr>
          <w:rFonts w:ascii="David" w:hAnsi="David" w:cs="David"/>
          <w:sz w:val="24"/>
          <w:szCs w:val="24"/>
          <w:rtl/>
        </w:rPr>
        <w:t>שת. לטענתה, חיובה לגור ב</w:t>
      </w:r>
      <w:r w:rsidR="00DC0838">
        <w:rPr>
          <w:rFonts w:ascii="David" w:hAnsi="David" w:cs="David" w:hint="cs"/>
          <w:sz w:val="24"/>
          <w:szCs w:val="24"/>
          <w:rtl/>
        </w:rPr>
        <w:t>ישוב ד'</w:t>
      </w:r>
      <w:r>
        <w:rPr>
          <w:rFonts w:ascii="David" w:hAnsi="David" w:cs="David"/>
          <w:sz w:val="24"/>
          <w:szCs w:val="24"/>
          <w:rtl/>
        </w:rPr>
        <w:t xml:space="preserve"> יגרום לה ולקטין נזקים משמעותיים הקשים מנשוא. עוד טוענת המבקשת, כי הקטין נקלט במקום מגוריו החדש והשארתו שם תשרת את טובתו. הדברים אמורים במיוחד עת לדידה היא נזרקה </w:t>
      </w:r>
      <w:r w:rsidR="00DC0838">
        <w:rPr>
          <w:rFonts w:ascii="David" w:hAnsi="David" w:cs="David"/>
          <w:sz w:val="24"/>
          <w:szCs w:val="24"/>
          <w:rtl/>
        </w:rPr>
        <w:t>מן הדירה השכורה בה התגוררו ב</w:t>
      </w:r>
      <w:r w:rsidR="00DC0838">
        <w:rPr>
          <w:rFonts w:ascii="David" w:hAnsi="David" w:cs="David" w:hint="cs"/>
          <w:sz w:val="24"/>
          <w:szCs w:val="24"/>
          <w:rtl/>
        </w:rPr>
        <w:t>ישוב ד'</w:t>
      </w:r>
      <w:r>
        <w:rPr>
          <w:rFonts w:ascii="David" w:hAnsi="David" w:cs="David"/>
          <w:sz w:val="24"/>
          <w:szCs w:val="24"/>
          <w:rtl/>
        </w:rPr>
        <w:t>, עת החליט לפרק את חיי הנישואין ולבטל חוזה השכירות בדירה זו. מדובר, כך על פי המבקשת, בשינוי נסיבות מהותי המצדיק סטיה מהוראות ההסכם.</w:t>
      </w:r>
    </w:p>
    <w:p w:rsidR="00297CB1" w:rsidRDefault="00297CB1" w:rsidP="00297CB1">
      <w:pPr>
        <w:pStyle w:val="ad"/>
        <w:rPr>
          <w:rFonts w:ascii="David" w:hAnsi="David" w:cs="David"/>
          <w:sz w:val="24"/>
          <w:szCs w:val="24"/>
          <w:rtl/>
        </w:rPr>
      </w:pPr>
    </w:p>
    <w:p w:rsidR="00297CB1" w:rsidRDefault="00297CB1" w:rsidP="00297CB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המבקשת, שגה בית משפט קמא משהחליט על קיומם של זמני שהות נרחבים בין המשיב לקטין, ובכך הוא התעלם מהעובדה שהמשיב אינו מיטיב עם הקטין ואינו אב פעיל ומהותי בחייו. </w:t>
      </w:r>
    </w:p>
    <w:p w:rsidR="00297CB1" w:rsidRDefault="00297CB1" w:rsidP="00297CB1">
      <w:pPr>
        <w:pStyle w:val="ad"/>
        <w:rPr>
          <w:rFonts w:ascii="David" w:hAnsi="David" w:cs="David"/>
          <w:sz w:val="24"/>
          <w:szCs w:val="24"/>
          <w:rtl/>
        </w:rPr>
      </w:pPr>
    </w:p>
    <w:p w:rsidR="00297CB1" w:rsidRDefault="00297CB1" w:rsidP="00297CB1">
      <w:pPr>
        <w:pStyle w:val="ad"/>
        <w:numPr>
          <w:ilvl w:val="0"/>
          <w:numId w:val="1"/>
        </w:numPr>
        <w:spacing w:line="360" w:lineRule="auto"/>
        <w:jc w:val="both"/>
        <w:rPr>
          <w:rFonts w:ascii="David" w:hAnsi="David" w:cs="David"/>
          <w:sz w:val="24"/>
          <w:szCs w:val="24"/>
        </w:rPr>
      </w:pPr>
      <w:r>
        <w:rPr>
          <w:rFonts w:ascii="David" w:hAnsi="David" w:cs="David"/>
          <w:sz w:val="24"/>
          <w:szCs w:val="24"/>
          <w:rtl/>
        </w:rPr>
        <w:t>בנוסף, לדידה, שגה בית משפט קמא כאשר קבע כי נטל הנסיעות יושת במלואו על המבקשת וכן שגה משהשית עליה הוצאות המשיב.</w:t>
      </w:r>
    </w:p>
    <w:p w:rsidR="00297CB1" w:rsidRDefault="00297CB1" w:rsidP="00297CB1">
      <w:pPr>
        <w:pStyle w:val="ad"/>
        <w:rPr>
          <w:rFonts w:ascii="David" w:hAnsi="David" w:cs="David"/>
          <w:sz w:val="24"/>
          <w:szCs w:val="24"/>
          <w:rtl/>
        </w:rPr>
      </w:pPr>
    </w:p>
    <w:p w:rsidR="00297CB1" w:rsidRDefault="00297CB1" w:rsidP="00297CB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הצדדים זומנו לדיון דחוף ומקדמי לפני, טרם הגשת תשובה מטעם המשיב. התקיים בהסכמת הצדדים, דיון לא פורמלי, לאחריו נקבע כי הבקשה מצריכה תשובה וכי הכרעה תתקבל לאחר הגשתה. </w:t>
      </w:r>
    </w:p>
    <w:p w:rsidR="00297CB1" w:rsidRDefault="00297CB1" w:rsidP="00297CB1">
      <w:pPr>
        <w:pStyle w:val="ad"/>
        <w:rPr>
          <w:rFonts w:ascii="David" w:hAnsi="David" w:cs="David"/>
          <w:sz w:val="24"/>
          <w:szCs w:val="24"/>
          <w:rtl/>
        </w:rPr>
      </w:pPr>
    </w:p>
    <w:p w:rsidR="00297CB1" w:rsidRDefault="00297CB1" w:rsidP="00297CB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בתשובתו התנגד המשיב לבקשה ועתר לדחייתה. לטענתו, מדובר בבקשת סרק אשר סיכוייה להתקבל נמוכים שכן החלטת בית משפט קמא נסמכת בעיקרו של דבר על ההסכם שאושר וקיבל תוקף של פסק דין בפני ערכאה קמא, כי מדובר בפסק דין חלוט שיש לקיימו כלשונו, למצער בתקופת ביניים זו, עד להכרעה שיפוטית או הסכמה אחרת בין הצדדים. </w:t>
      </w:r>
    </w:p>
    <w:p w:rsidR="00297CB1" w:rsidRDefault="00297CB1" w:rsidP="00297CB1">
      <w:pPr>
        <w:pStyle w:val="ad"/>
        <w:rPr>
          <w:rFonts w:ascii="David" w:hAnsi="David" w:cs="David"/>
          <w:sz w:val="24"/>
          <w:szCs w:val="24"/>
          <w:rtl/>
        </w:rPr>
      </w:pPr>
    </w:p>
    <w:p w:rsidR="00297CB1" w:rsidRDefault="00297CB1" w:rsidP="00297CB1">
      <w:pPr>
        <w:pStyle w:val="ad"/>
        <w:spacing w:line="360" w:lineRule="auto"/>
        <w:jc w:val="both"/>
        <w:rPr>
          <w:rFonts w:ascii="David" w:hAnsi="David" w:cs="David"/>
          <w:sz w:val="24"/>
          <w:szCs w:val="24"/>
        </w:rPr>
      </w:pPr>
      <w:r>
        <w:rPr>
          <w:rFonts w:ascii="David" w:hAnsi="David" w:cs="David"/>
          <w:sz w:val="24"/>
          <w:szCs w:val="24"/>
          <w:rtl/>
        </w:rPr>
        <w:t>לטענתו, המבקשת מ</w:t>
      </w:r>
      <w:r w:rsidR="00DC0838">
        <w:rPr>
          <w:rFonts w:ascii="David" w:hAnsi="David" w:cs="David"/>
          <w:sz w:val="24"/>
          <w:szCs w:val="24"/>
          <w:rtl/>
        </w:rPr>
        <w:t>עוניינת לגור ליד הוריה ב</w:t>
      </w:r>
      <w:r w:rsidR="00DC0838">
        <w:rPr>
          <w:rFonts w:ascii="David" w:hAnsi="David" w:cs="David" w:hint="cs"/>
          <w:sz w:val="24"/>
          <w:szCs w:val="24"/>
          <w:rtl/>
        </w:rPr>
        <w:t>ישוב ק'</w:t>
      </w:r>
      <w:r>
        <w:rPr>
          <w:rFonts w:ascii="David" w:hAnsi="David" w:cs="David"/>
          <w:sz w:val="24"/>
          <w:szCs w:val="24"/>
          <w:rtl/>
        </w:rPr>
        <w:t xml:space="preserve"> </w:t>
      </w:r>
      <w:r w:rsidR="00DC0838">
        <w:rPr>
          <w:rFonts w:ascii="David" w:hAnsi="David" w:cs="David"/>
          <w:sz w:val="24"/>
          <w:szCs w:val="24"/>
          <w:rtl/>
        </w:rPr>
        <w:t xml:space="preserve">אך מלבד זאת אין לה כל זיקה </w:t>
      </w:r>
      <w:r w:rsidR="00DC0838">
        <w:rPr>
          <w:rFonts w:ascii="David" w:hAnsi="David" w:cs="David" w:hint="cs"/>
          <w:sz w:val="24"/>
          <w:szCs w:val="24"/>
          <w:rtl/>
        </w:rPr>
        <w:t>אליו</w:t>
      </w:r>
      <w:r>
        <w:rPr>
          <w:rFonts w:ascii="David" w:hAnsi="David" w:cs="David"/>
          <w:sz w:val="24"/>
          <w:szCs w:val="24"/>
          <w:rtl/>
        </w:rPr>
        <w:t>, וכי בנסיבות דנן, כאשר על כפות המאזניים מונחים אינטרסים מתנגשים, ההכרעה לטובת הקטין וזכויות המשיב כאפוטרופוס טבעי גוברות על חופש התנועה של המבקשת. לטענתו, ככל שהמבקשת מעוניי</w:t>
      </w:r>
      <w:r w:rsidR="00DC0838">
        <w:rPr>
          <w:rFonts w:ascii="David" w:hAnsi="David" w:cs="David"/>
          <w:sz w:val="24"/>
          <w:szCs w:val="24"/>
          <w:rtl/>
        </w:rPr>
        <w:t>נת להתגורר סמוך להוריה ב</w:t>
      </w:r>
      <w:r w:rsidR="00DC0838">
        <w:rPr>
          <w:rFonts w:ascii="David" w:hAnsi="David" w:cs="David" w:hint="cs"/>
          <w:sz w:val="24"/>
          <w:szCs w:val="24"/>
          <w:rtl/>
        </w:rPr>
        <w:t>ישוב ק'</w:t>
      </w:r>
      <w:r>
        <w:rPr>
          <w:rFonts w:ascii="David" w:hAnsi="David" w:cs="David"/>
          <w:sz w:val="24"/>
          <w:szCs w:val="24"/>
          <w:rtl/>
        </w:rPr>
        <w:t>, יש להעביר את הקטין לידיו, כי אז ייקבעו זמני שהות בינה לבין הקטין.</w:t>
      </w:r>
    </w:p>
    <w:p w:rsidR="00297CB1" w:rsidRDefault="00297CB1" w:rsidP="00297CB1">
      <w:pPr>
        <w:spacing w:line="360" w:lineRule="auto"/>
        <w:jc w:val="both"/>
        <w:rPr>
          <w:rFonts w:ascii="David" w:hAnsi="David"/>
          <w:b/>
          <w:bCs/>
          <w:rtl/>
        </w:rPr>
      </w:pPr>
      <w:r>
        <w:rPr>
          <w:rFonts w:ascii="David" w:hAnsi="David"/>
          <w:b/>
          <w:bCs/>
          <w:u w:val="single"/>
          <w:rtl/>
        </w:rPr>
        <w:t>דיון והכרעה</w:t>
      </w:r>
      <w:r>
        <w:rPr>
          <w:rFonts w:ascii="David" w:hAnsi="David"/>
          <w:b/>
          <w:bCs/>
          <w:rtl/>
        </w:rPr>
        <w:t>:</w:t>
      </w:r>
    </w:p>
    <w:p w:rsidR="00297CB1" w:rsidRDefault="00297CB1" w:rsidP="00297CB1">
      <w:pPr>
        <w:pStyle w:val="ad"/>
        <w:numPr>
          <w:ilvl w:val="0"/>
          <w:numId w:val="1"/>
        </w:numPr>
        <w:spacing w:before="240" w:line="360" w:lineRule="auto"/>
        <w:jc w:val="both"/>
        <w:rPr>
          <w:rFonts w:ascii="David" w:hAnsi="David" w:cs="David"/>
          <w:sz w:val="24"/>
          <w:szCs w:val="24"/>
        </w:rPr>
      </w:pPr>
      <w:r>
        <w:rPr>
          <w:rFonts w:ascii="David" w:hAnsi="David" w:cs="David"/>
          <w:sz w:val="24"/>
          <w:szCs w:val="24"/>
          <w:rtl/>
        </w:rPr>
        <w:t>לאחר קריאה מעמיקה של בקשת רשות הערעור על נספחיה, של תשובת המשיב ושל תיק בית משפט קמא החלטתי לדון בבקשה כאילו ניתנה הרשות והוגש ערעור על פיה.</w:t>
      </w:r>
    </w:p>
    <w:p w:rsidR="00297CB1" w:rsidRDefault="00297CB1" w:rsidP="00297CB1">
      <w:pPr>
        <w:pStyle w:val="ad"/>
        <w:spacing w:before="240" w:line="360" w:lineRule="auto"/>
        <w:jc w:val="both"/>
        <w:rPr>
          <w:rFonts w:ascii="David" w:hAnsi="David" w:cs="David"/>
          <w:sz w:val="24"/>
          <w:szCs w:val="24"/>
        </w:rPr>
      </w:pPr>
    </w:p>
    <w:p w:rsidR="00297CB1" w:rsidRDefault="00297CB1" w:rsidP="00297CB1">
      <w:pPr>
        <w:pStyle w:val="ad"/>
        <w:numPr>
          <w:ilvl w:val="0"/>
          <w:numId w:val="1"/>
        </w:numPr>
        <w:spacing w:after="0" w:line="360" w:lineRule="auto"/>
        <w:jc w:val="both"/>
        <w:rPr>
          <w:rFonts w:ascii="David" w:hAnsi="David"/>
        </w:rPr>
      </w:pPr>
      <w:r>
        <w:rPr>
          <w:rFonts w:ascii="David" w:eastAsia="Times New Roman" w:hAnsi="David" w:cs="David"/>
          <w:sz w:val="24"/>
          <w:szCs w:val="24"/>
          <w:rtl/>
        </w:rPr>
        <w:t>ידוע, כי אין זו מדרכה של ערכאת הערעור להתערב בממצאי מהימנות ובקביעת עובדות, אשר נקבעו על-ידי הערכאה הדיונית. שונה הדבר, עת נראה, כי נפל פגם בקביעות הערכאה הדיונית באופן היורד לשורשו של עניין.</w:t>
      </w:r>
    </w:p>
    <w:p w:rsidR="00297CB1" w:rsidRDefault="00297CB1" w:rsidP="00297CB1">
      <w:pPr>
        <w:spacing w:line="360" w:lineRule="auto"/>
        <w:jc w:val="both"/>
        <w:rPr>
          <w:rFonts w:ascii="David" w:hAnsi="David"/>
        </w:rPr>
      </w:pPr>
    </w:p>
    <w:p w:rsidR="00297CB1" w:rsidRDefault="00297CB1" w:rsidP="00297CB1">
      <w:pPr>
        <w:spacing w:line="360" w:lineRule="auto"/>
        <w:ind w:left="720"/>
        <w:contextualSpacing/>
        <w:jc w:val="both"/>
        <w:rPr>
          <w:rtl/>
        </w:rPr>
      </w:pPr>
      <w:r>
        <w:rPr>
          <w:rtl/>
        </w:rPr>
        <w:t>יפים לענייננו דבריו של כב' השופט ד. מינץ ב-</w:t>
      </w:r>
      <w:hyperlink r:id="rId8" w:history="1">
        <w:r>
          <w:rPr>
            <w:rStyle w:val="Hyperlink"/>
            <w:rtl/>
          </w:rPr>
          <w:t>ע"א 8191/16</w:t>
        </w:r>
      </w:hyperlink>
      <w:r>
        <w:rPr>
          <w:rtl/>
        </w:rPr>
        <w:t xml:space="preserve"> </w:t>
      </w:r>
      <w:r>
        <w:rPr>
          <w:rFonts w:hint="cs"/>
          <w:b/>
          <w:bCs/>
          <w:rtl/>
        </w:rPr>
        <w:t>דיאליט נ' אברהם הרר</w:t>
      </w:r>
      <w:r>
        <w:rPr>
          <w:rFonts w:hint="cs"/>
          <w:rtl/>
        </w:rPr>
        <w:t xml:space="preserve"> [פורסם בנבו] (17.6.2019):</w:t>
      </w:r>
    </w:p>
    <w:p w:rsidR="00297CB1" w:rsidRDefault="00297CB1" w:rsidP="00297CB1">
      <w:pPr>
        <w:spacing w:line="360" w:lineRule="auto"/>
        <w:jc w:val="both"/>
        <w:rPr>
          <w:rFonts w:ascii="David" w:hAnsi="David"/>
        </w:rPr>
      </w:pPr>
    </w:p>
    <w:p w:rsidR="00297CB1" w:rsidRDefault="00297CB1" w:rsidP="00297CB1">
      <w:pPr>
        <w:tabs>
          <w:tab w:val="left" w:pos="800"/>
        </w:tabs>
        <w:overflowPunct w:val="0"/>
        <w:autoSpaceDE w:val="0"/>
        <w:autoSpaceDN w:val="0"/>
        <w:adjustRightInd w:val="0"/>
        <w:spacing w:line="360" w:lineRule="auto"/>
        <w:ind w:left="1440"/>
        <w:jc w:val="both"/>
        <w:rPr>
          <w:rFonts w:ascii="David" w:hAnsi="David"/>
          <w:b/>
          <w:bCs/>
          <w:noProof w:val="0"/>
          <w:spacing w:val="10"/>
          <w:rtl/>
        </w:rPr>
      </w:pPr>
      <w:r>
        <w:rPr>
          <w:rFonts w:ascii="David" w:hAnsi="David"/>
          <w:b/>
          <w:bCs/>
          <w:spacing w:val="10"/>
          <w:rtl/>
        </w:rPr>
        <w:t xml:space="preserve">"כאמור, הלכה נושנה היא שאין זה מדרכה של ערכאת הערעור להתערב בממצאי עובדה ומהימנות שנקבעו על ידי הערכאה הדיונית. זאת, מפני שבידה של הערכאה הדיונית האפשרות להתרשם מהעדים ומחקירתם על דוכן העדים, ולבחון כל ראיה וחוות-דעת לעומק. התערבות ערכאת הערעור תיעשה במקרים חריגים וקיצוניים בלבד, כגון מקרים בהם נפל פגם בהכרעתה של הערכאה הראשונה היורד לשורשו של עניין, או כשהדברים אינם מבוססים על פניהם </w:t>
      </w:r>
      <w:r>
        <w:rPr>
          <w:rFonts w:ascii="David" w:hAnsi="David"/>
          <w:b/>
          <w:bCs/>
          <w:rtl/>
        </w:rPr>
        <w:t>(</w:t>
      </w:r>
      <w:hyperlink r:id="rId9" w:history="1">
        <w:r>
          <w:rPr>
            <w:rStyle w:val="Hyperlink"/>
            <w:rFonts w:ascii="Arimo" w:hAnsi="Arimo"/>
            <w:b/>
            <w:bCs/>
            <w:shd w:val="clear" w:color="auto" w:fill="FAFAFA"/>
            <w:rtl/>
          </w:rPr>
          <w:t xml:space="preserve">אורי גורן סוגיות בסדר דין אזרחי </w:t>
        </w:r>
      </w:hyperlink>
      <w:r>
        <w:rPr>
          <w:rFonts w:ascii="David" w:hAnsi="David"/>
          <w:b/>
          <w:bCs/>
          <w:rtl/>
        </w:rPr>
        <w:t xml:space="preserve"> </w:t>
      </w:r>
      <w:r>
        <w:rPr>
          <w:rFonts w:ascii="David" w:hAnsi="David" w:hint="cs"/>
          <w:b/>
          <w:bCs/>
          <w:spacing w:val="10"/>
          <w:rtl/>
        </w:rPr>
        <w:t xml:space="preserve">1026 (מהדורה שתים עשרה, 2015); </w:t>
      </w:r>
      <w:hyperlink r:id="rId10" w:history="1">
        <w:r>
          <w:rPr>
            <w:rStyle w:val="Hyperlink"/>
            <w:rFonts w:ascii="David" w:hAnsi="David"/>
            <w:b/>
            <w:bCs/>
            <w:spacing w:val="10"/>
            <w:rtl/>
          </w:rPr>
          <w:t xml:space="preserve">ע"א 4175/12 </w:t>
        </w:r>
      </w:hyperlink>
      <w:r>
        <w:rPr>
          <w:rFonts w:ascii="David" w:hAnsi="David"/>
          <w:b/>
          <w:bCs/>
          <w:spacing w:val="10"/>
          <w:rtl/>
        </w:rPr>
        <w:t xml:space="preserve"> </w:t>
      </w:r>
      <w:r>
        <w:rPr>
          <w:rFonts w:ascii="David" w:hAnsi="David"/>
          <w:b/>
          <w:bCs/>
          <w:rtl/>
        </w:rPr>
        <w:t>תעשית אבן וסיד בע"מ נ' גדיר</w:t>
      </w:r>
      <w:r>
        <w:rPr>
          <w:rFonts w:ascii="David" w:hAnsi="David"/>
          <w:b/>
          <w:bCs/>
          <w:spacing w:val="10"/>
          <w:rtl/>
        </w:rPr>
        <w:t xml:space="preserve"> </w:t>
      </w:r>
      <w:r>
        <w:rPr>
          <w:rFonts w:ascii="David" w:hAnsi="David"/>
          <w:b/>
          <w:bCs/>
          <w:rtl/>
        </w:rPr>
        <w:t xml:space="preserve">[פורסם בנבו] </w:t>
      </w:r>
      <w:r>
        <w:rPr>
          <w:rFonts w:ascii="David" w:hAnsi="David"/>
          <w:b/>
          <w:bCs/>
          <w:spacing w:val="10"/>
          <w:rtl/>
        </w:rPr>
        <w:t>(10.3.2014);</w:t>
      </w:r>
      <w:r>
        <w:rPr>
          <w:rFonts w:ascii="David" w:hAnsi="David"/>
          <w:b/>
          <w:bCs/>
          <w:rtl/>
        </w:rPr>
        <w:t xml:space="preserve"> </w:t>
      </w:r>
      <w:hyperlink r:id="rId11" w:history="1">
        <w:r>
          <w:rPr>
            <w:rStyle w:val="Hyperlink"/>
            <w:rFonts w:ascii="David" w:hAnsi="David"/>
            <w:b/>
            <w:bCs/>
            <w:rtl/>
          </w:rPr>
          <w:t xml:space="preserve">ע"א 3894/03 </w:t>
        </w:r>
      </w:hyperlink>
      <w:r>
        <w:rPr>
          <w:rFonts w:ascii="David" w:hAnsi="David"/>
          <w:b/>
          <w:bCs/>
          <w:rtl/>
        </w:rPr>
        <w:t xml:space="preserve"> דויטש נ' ישראפלאורס בע"מ</w:t>
      </w:r>
      <w:r>
        <w:rPr>
          <w:rFonts w:ascii="David" w:hAnsi="David"/>
          <w:b/>
          <w:bCs/>
          <w:spacing w:val="10"/>
          <w:rtl/>
        </w:rPr>
        <w:t xml:space="preserve"> </w:t>
      </w:r>
      <w:r>
        <w:rPr>
          <w:rFonts w:ascii="David" w:hAnsi="David"/>
          <w:b/>
          <w:bCs/>
          <w:rtl/>
        </w:rPr>
        <w:t xml:space="preserve">[פורסם בנבו] </w:t>
      </w:r>
      <w:r>
        <w:rPr>
          <w:rFonts w:ascii="David" w:hAnsi="David"/>
          <w:b/>
          <w:bCs/>
          <w:spacing w:val="10"/>
          <w:rtl/>
        </w:rPr>
        <w:t xml:space="preserve">(23.8.2012)). </w:t>
      </w:r>
    </w:p>
    <w:p w:rsidR="00297CB1" w:rsidRDefault="00297CB1" w:rsidP="00297CB1">
      <w:pPr>
        <w:spacing w:line="360" w:lineRule="auto"/>
        <w:ind w:left="720"/>
        <w:contextualSpacing/>
        <w:rPr>
          <w:rFonts w:ascii="David" w:hAnsi="David"/>
        </w:rPr>
      </w:pPr>
    </w:p>
    <w:p w:rsidR="00297CB1" w:rsidRDefault="00297CB1" w:rsidP="00297CB1">
      <w:pPr>
        <w:spacing w:line="360" w:lineRule="auto"/>
        <w:ind w:left="720"/>
        <w:contextualSpacing/>
        <w:jc w:val="both"/>
        <w:rPr>
          <w:rFonts w:ascii="David" w:hAnsi="David"/>
          <w:rtl/>
        </w:rPr>
      </w:pPr>
      <w:r>
        <w:rPr>
          <w:rFonts w:ascii="David" w:hAnsi="David"/>
          <w:rtl/>
        </w:rPr>
        <w:t xml:space="preserve">דברים אלה נכונים שבעתיים, שעה שמדובר בסעד זמני, אשר ייבחן מעת לעת במהלך ניהול ההליך על-ידי בית משפט קמא, עת תונחנה בפניו המלצות הגורמים המקצועיים ותיבחן טובת הקטין, וברי, כי סעד זה נתון לשינויים, ואינו חורץ את גורלה של ההכרעה כולה. על כך יש להוסיף כי בשלב זה בו טרם התבררו טענות ההגנה של המבקשת כנגד התביעה לאכיפת ההסכם, מן הראוי לבכר את החלופה המקיימת את הוראותיו, על פני זו המתנערת מהן. </w:t>
      </w:r>
    </w:p>
    <w:p w:rsidR="00297CB1" w:rsidRDefault="00297CB1" w:rsidP="00297CB1">
      <w:pPr>
        <w:spacing w:line="360" w:lineRule="auto"/>
        <w:ind w:left="720"/>
        <w:contextualSpacing/>
        <w:jc w:val="both"/>
        <w:rPr>
          <w:rFonts w:ascii="David" w:hAnsi="David"/>
          <w:rtl/>
        </w:rPr>
      </w:pPr>
    </w:p>
    <w:p w:rsidR="00297CB1" w:rsidRDefault="00297CB1" w:rsidP="00297CB1">
      <w:pPr>
        <w:spacing w:line="360" w:lineRule="auto"/>
        <w:ind w:left="720"/>
        <w:contextualSpacing/>
        <w:jc w:val="both"/>
        <w:rPr>
          <w:rFonts w:ascii="David" w:hAnsi="David"/>
          <w:rtl/>
        </w:rPr>
      </w:pPr>
      <w:r>
        <w:rPr>
          <w:rFonts w:ascii="David" w:hAnsi="David"/>
          <w:rtl/>
        </w:rPr>
        <w:t>אפנה לדבריו של כב' השופט נ. הנדל ב-</w:t>
      </w:r>
      <w:hyperlink r:id="rId12" w:history="1">
        <w:r>
          <w:rPr>
            <w:rStyle w:val="Hyperlink"/>
            <w:rFonts w:ascii="David" w:hAnsi="David"/>
            <w:rtl/>
          </w:rPr>
          <w:t>בע"מ 5451/19</w:t>
        </w:r>
      </w:hyperlink>
      <w:r>
        <w:rPr>
          <w:rFonts w:ascii="David" w:hAnsi="David"/>
          <w:rtl/>
        </w:rPr>
        <w:t xml:space="preserve"> </w:t>
      </w:r>
      <w:r>
        <w:rPr>
          <w:rFonts w:ascii="David" w:hAnsi="David" w:hint="cs"/>
          <w:b/>
          <w:bCs/>
          <w:rtl/>
        </w:rPr>
        <w:t xml:space="preserve">פלונית נ' פלוני, </w:t>
      </w:r>
      <w:r>
        <w:rPr>
          <w:rtl/>
        </w:rPr>
        <w:t>[פורסם בנבו]</w:t>
      </w:r>
      <w:r>
        <w:rPr>
          <w:rFonts w:ascii="David" w:hAnsi="David"/>
          <w:rtl/>
        </w:rPr>
        <w:t xml:space="preserve"> , 22.08.2019, פסקה 5, היפים לענייננו ובשינויים המתחייבים:</w:t>
      </w:r>
    </w:p>
    <w:p w:rsidR="00297CB1" w:rsidRDefault="00297CB1" w:rsidP="00297CB1">
      <w:pPr>
        <w:spacing w:line="360" w:lineRule="auto"/>
        <w:ind w:left="720"/>
        <w:contextualSpacing/>
        <w:jc w:val="both"/>
        <w:rPr>
          <w:rFonts w:ascii="David" w:hAnsi="David"/>
          <w:rtl/>
        </w:rPr>
      </w:pPr>
    </w:p>
    <w:p w:rsidR="00297CB1" w:rsidRDefault="00297CB1" w:rsidP="00297CB1">
      <w:pPr>
        <w:spacing w:line="360" w:lineRule="auto"/>
        <w:ind w:left="1440"/>
        <w:contextualSpacing/>
        <w:jc w:val="both"/>
        <w:rPr>
          <w:rFonts w:ascii="David" w:hAnsi="David"/>
          <w:b/>
          <w:bCs/>
          <w:rtl/>
        </w:rPr>
      </w:pPr>
      <w:r>
        <w:rPr>
          <w:rFonts w:ascii="David" w:hAnsi="David"/>
          <w:b/>
          <w:bCs/>
          <w:rtl/>
        </w:rPr>
        <w:t>"אפתח ואומר כי בדונו בתובענה שעניינה זכויות משמורת, בית המשפט לענייני משפחה מוסמך לקבוע משמורת זמנית, להעביר אותה מהורה אחד למשנהו, ולקבוע הסדרי שהות זמניים. זאת, הן מכוח סמכותו הכללית למתן סעד זמני בהליך (ראו תקנות 258ב(ב) ו-258ד(ד) ל</w:t>
      </w:r>
      <w:hyperlink r:id="rId13" w:history="1">
        <w:r>
          <w:rPr>
            <w:rStyle w:val="Hyperlink"/>
            <w:rFonts w:ascii="David" w:hAnsi="David"/>
            <w:b/>
            <w:bCs/>
            <w:rtl/>
          </w:rPr>
          <w:t>תקנות סדר הדין האזרחי</w:t>
        </w:r>
      </w:hyperlink>
      <w:r>
        <w:rPr>
          <w:rFonts w:ascii="David" w:hAnsi="David"/>
          <w:b/>
          <w:bCs/>
          <w:rtl/>
        </w:rPr>
        <w:t xml:space="preserve">, התשמ"ד-1984), על מנת להבטיח את קיומו התקין או את ביצועו היעיל של פסק הדין (שם, </w:t>
      </w:r>
      <w:r>
        <w:rPr>
          <w:rFonts w:ascii="David" w:hAnsi="David"/>
          <w:b/>
          <w:bCs/>
          <w:rtl/>
        </w:rPr>
        <w:lastRenderedPageBreak/>
        <w:t>תקנה 1) – והן מכוח סעיף 68(א) ל</w:t>
      </w:r>
      <w:hyperlink r:id="rId14" w:history="1">
        <w:r>
          <w:rPr>
            <w:rStyle w:val="Hyperlink"/>
            <w:rFonts w:ascii="David" w:hAnsi="David"/>
            <w:b/>
            <w:bCs/>
            <w:rtl/>
          </w:rPr>
          <w:t>חוק הכשרות המשפטית והאפוטרופסות</w:t>
        </w:r>
      </w:hyperlink>
      <w:r>
        <w:rPr>
          <w:rFonts w:ascii="David" w:hAnsi="David"/>
          <w:b/>
          <w:bCs/>
          <w:rtl/>
        </w:rPr>
        <w:t>, התשכ"ב-1962, הקובע כי "בית המשפט רשאי, בכל עת [...] לנקוט אמצעיים זמנים או קבועים הנראים לו לשמירת עניניו של קטין" (</w:t>
      </w:r>
      <w:hyperlink r:id="rId15" w:history="1">
        <w:r>
          <w:rPr>
            <w:rStyle w:val="Hyperlink"/>
            <w:rFonts w:ascii="David" w:hAnsi="David"/>
            <w:b/>
            <w:bCs/>
            <w:rtl/>
          </w:rPr>
          <w:t>בע"ם 5710/05 פלוני נ' פלוני, פ"ד סא</w:t>
        </w:r>
      </w:hyperlink>
      <w:r>
        <w:rPr>
          <w:rFonts w:ascii="David" w:hAnsi="David"/>
          <w:b/>
          <w:bCs/>
          <w:rtl/>
        </w:rPr>
        <w:t>(2) 663, פסקה 13 (6.7.2006))"...."</w:t>
      </w:r>
    </w:p>
    <w:p w:rsidR="00297CB1" w:rsidRDefault="00297CB1" w:rsidP="00297CB1">
      <w:pPr>
        <w:spacing w:line="360" w:lineRule="auto"/>
        <w:jc w:val="both"/>
        <w:rPr>
          <w:rFonts w:ascii="David" w:hAnsi="David"/>
          <w:b/>
          <w:bCs/>
          <w:rtl/>
        </w:rPr>
      </w:pPr>
    </w:p>
    <w:p w:rsidR="00297CB1" w:rsidRDefault="00297CB1" w:rsidP="00297CB1">
      <w:pPr>
        <w:spacing w:line="360" w:lineRule="auto"/>
        <w:jc w:val="both"/>
        <w:rPr>
          <w:rFonts w:ascii="David" w:hAnsi="David"/>
          <w:rtl/>
        </w:rPr>
      </w:pPr>
      <w:r>
        <w:rPr>
          <w:rFonts w:ascii="David" w:hAnsi="David"/>
          <w:b/>
          <w:bCs/>
          <w:rtl/>
        </w:rPr>
        <w:tab/>
      </w:r>
      <w:r>
        <w:rPr>
          <w:rFonts w:ascii="David" w:hAnsi="David"/>
          <w:rtl/>
        </w:rPr>
        <w:t>ובהמשך, בפסקה 7:</w:t>
      </w:r>
    </w:p>
    <w:p w:rsidR="00297CB1" w:rsidRDefault="00297CB1" w:rsidP="00297CB1">
      <w:pPr>
        <w:spacing w:line="360" w:lineRule="auto"/>
        <w:jc w:val="both"/>
        <w:rPr>
          <w:rFonts w:ascii="David" w:hAnsi="David"/>
          <w:rtl/>
        </w:rPr>
      </w:pPr>
    </w:p>
    <w:p w:rsidR="00297CB1" w:rsidRDefault="00297CB1" w:rsidP="00297CB1">
      <w:pPr>
        <w:spacing w:line="360" w:lineRule="auto"/>
        <w:ind w:left="1440"/>
        <w:jc w:val="both"/>
        <w:rPr>
          <w:rFonts w:ascii="David" w:hAnsi="David"/>
          <w:b/>
          <w:bCs/>
          <w:rtl/>
        </w:rPr>
      </w:pPr>
      <w:r>
        <w:rPr>
          <w:rFonts w:ascii="David" w:hAnsi="David"/>
          <w:b/>
          <w:bCs/>
          <w:rtl/>
        </w:rPr>
        <w:t>"כמובן, וכפי שציין בית המשפט המחוזי, אין בדברים כדי לחרוץ את גורל התביעה העיקרית – שהרי הבירור הראייתי המלא שעל הערכאה הדיונית לערוך כעת, שלא לדבר על שינוי נסיבות, עשויים להוביל להכרעה סופית שונה לחלוטין".</w:t>
      </w:r>
    </w:p>
    <w:p w:rsidR="00297CB1" w:rsidRDefault="00297CB1" w:rsidP="00297CB1">
      <w:pPr>
        <w:pStyle w:val="ad"/>
        <w:rPr>
          <w:rFonts w:ascii="David" w:hAnsi="David" w:cs="David"/>
          <w:sz w:val="24"/>
          <w:szCs w:val="24"/>
          <w:rtl/>
        </w:rPr>
      </w:pPr>
    </w:p>
    <w:p w:rsidR="00297CB1" w:rsidRDefault="00297CB1" w:rsidP="00297CB1">
      <w:pPr>
        <w:pStyle w:val="ad"/>
        <w:numPr>
          <w:ilvl w:val="0"/>
          <w:numId w:val="1"/>
        </w:numPr>
        <w:spacing w:after="0" w:line="360" w:lineRule="auto"/>
        <w:jc w:val="both"/>
        <w:rPr>
          <w:rFonts w:ascii="David" w:eastAsia="Calibri" w:hAnsi="David" w:cs="David"/>
          <w:sz w:val="24"/>
          <w:szCs w:val="24"/>
        </w:rPr>
      </w:pPr>
      <w:r>
        <w:rPr>
          <w:rFonts w:ascii="David" w:eastAsia="Calibri" w:hAnsi="David" w:cs="David"/>
          <w:sz w:val="24"/>
          <w:szCs w:val="24"/>
          <w:rtl/>
        </w:rPr>
        <w:t xml:space="preserve">בעבר הזדמן לי לעסוק בסוגית מעבר מגורים של בן זוג בעקבות משבר והעתקת מגורי קטין, וכן לסעדים זמניים בתקופת הביניים עד להכרעה סופית, בין היתר כשברקע הסכם שערכו בני הזוג המסדיר נושאים אלה, ואחזור על עיקרי הדברים שכתבתי ב-רמ"ש 23735-09-20 </w:t>
      </w:r>
      <w:r>
        <w:rPr>
          <w:rFonts w:ascii="David" w:eastAsia="Calibri" w:hAnsi="David" w:cs="David"/>
          <w:b/>
          <w:bCs/>
          <w:sz w:val="24"/>
          <w:szCs w:val="24"/>
          <w:rtl/>
        </w:rPr>
        <w:t>פלונית נ' פלוני</w:t>
      </w:r>
      <w:r>
        <w:rPr>
          <w:rFonts w:ascii="David" w:eastAsia="Calibri" w:hAnsi="David" w:cs="David"/>
          <w:sz w:val="24"/>
          <w:szCs w:val="24"/>
          <w:rtl/>
        </w:rPr>
        <w:t xml:space="preserve"> (23.10.2020)..</w:t>
      </w:r>
    </w:p>
    <w:p w:rsidR="00297CB1" w:rsidRDefault="00297CB1" w:rsidP="00297CB1">
      <w:pPr>
        <w:pStyle w:val="ad"/>
        <w:spacing w:after="0" w:line="360" w:lineRule="auto"/>
        <w:jc w:val="both"/>
        <w:rPr>
          <w:rFonts w:ascii="David" w:eastAsia="Calibri" w:hAnsi="David" w:cs="David"/>
          <w:sz w:val="24"/>
          <w:szCs w:val="24"/>
        </w:rPr>
      </w:pPr>
    </w:p>
    <w:p w:rsidR="00297CB1" w:rsidRDefault="00297CB1" w:rsidP="00297CB1">
      <w:pPr>
        <w:pStyle w:val="ad"/>
        <w:numPr>
          <w:ilvl w:val="0"/>
          <w:numId w:val="1"/>
        </w:numPr>
        <w:spacing w:after="0" w:line="360" w:lineRule="auto"/>
        <w:jc w:val="both"/>
        <w:rPr>
          <w:rFonts w:ascii="David" w:eastAsia="Calibri" w:hAnsi="David" w:cs="David"/>
          <w:sz w:val="24"/>
          <w:szCs w:val="24"/>
        </w:rPr>
      </w:pPr>
      <w:r>
        <w:rPr>
          <w:rFonts w:ascii="David" w:eastAsia="Calibri" w:hAnsi="David" w:cs="David"/>
          <w:sz w:val="24"/>
          <w:szCs w:val="24"/>
          <w:rtl/>
        </w:rPr>
        <w:t>כידוע, הכלל הבסיסי ועתיק-היומין קובע, כי הסכמים יש לקיים.</w:t>
      </w:r>
    </w:p>
    <w:p w:rsidR="00297CB1" w:rsidRDefault="00297CB1" w:rsidP="00297CB1">
      <w:pPr>
        <w:spacing w:line="252" w:lineRule="auto"/>
        <w:ind w:left="720"/>
        <w:contextualSpacing/>
        <w:rPr>
          <w:rFonts w:ascii="David" w:eastAsia="Calibri" w:hAnsi="David"/>
          <w:rtl/>
        </w:rPr>
      </w:pPr>
    </w:p>
    <w:p w:rsidR="00297CB1" w:rsidRDefault="00297CB1" w:rsidP="00297CB1">
      <w:pPr>
        <w:spacing w:line="360" w:lineRule="auto"/>
        <w:ind w:left="720"/>
        <w:jc w:val="both"/>
        <w:rPr>
          <w:rFonts w:ascii="David" w:hAnsi="David"/>
        </w:rPr>
      </w:pPr>
      <w:r>
        <w:rPr>
          <w:rFonts w:ascii="David" w:hAnsi="David"/>
          <w:rtl/>
        </w:rPr>
        <w:t>אפנה לדבריו של כב' נשיא בית המשפט בדימוס, השופט א. ברק, ב-</w:t>
      </w:r>
      <w:hyperlink r:id="rId16" w:history="1">
        <w:r>
          <w:rPr>
            <w:rStyle w:val="Hyperlink"/>
            <w:rFonts w:ascii="David" w:hAnsi="David"/>
            <w:rtl/>
          </w:rPr>
          <w:t>ד"נ 20/82</w:t>
        </w:r>
      </w:hyperlink>
      <w:r>
        <w:rPr>
          <w:rFonts w:ascii="David" w:hAnsi="David"/>
          <w:b/>
          <w:bCs/>
          <w:rtl/>
        </w:rPr>
        <w:t xml:space="preserve"> אדרס חמרי בנין בע"מ נ' הרלו אנד ג'ונס ג.מ.ב.ה, </w:t>
      </w:r>
      <w:r>
        <w:rPr>
          <w:rFonts w:ascii="David" w:hAnsi="David"/>
          <w:rtl/>
        </w:rPr>
        <w:t>מב(1) 221 (להלן: "</w:t>
      </w:r>
      <w:r>
        <w:rPr>
          <w:rFonts w:ascii="David" w:hAnsi="David"/>
          <w:b/>
          <w:bCs/>
          <w:rtl/>
        </w:rPr>
        <w:t>עניין אדרס</w:t>
      </w:r>
      <w:r>
        <w:rPr>
          <w:rFonts w:ascii="David" w:hAnsi="David"/>
          <w:rtl/>
        </w:rPr>
        <w:t>"):</w:t>
      </w:r>
    </w:p>
    <w:p w:rsidR="00297CB1" w:rsidRDefault="00297CB1" w:rsidP="00297CB1">
      <w:pPr>
        <w:spacing w:line="360" w:lineRule="auto"/>
        <w:ind w:left="720"/>
        <w:jc w:val="both"/>
        <w:rPr>
          <w:rFonts w:ascii="David" w:hAnsi="David"/>
        </w:rPr>
      </w:pPr>
    </w:p>
    <w:p w:rsidR="00297CB1" w:rsidRDefault="00297CB1" w:rsidP="00297CB1">
      <w:pPr>
        <w:spacing w:line="360" w:lineRule="auto"/>
        <w:ind w:left="2160"/>
        <w:jc w:val="both"/>
        <w:rPr>
          <w:rFonts w:ascii="David" w:hAnsi="David"/>
          <w:b/>
          <w:bCs/>
        </w:rPr>
      </w:pPr>
      <w:r>
        <w:rPr>
          <w:rFonts w:ascii="David" w:hAnsi="David"/>
          <w:rtl/>
        </w:rPr>
        <w:t>"</w:t>
      </w:r>
      <w:r>
        <w:rPr>
          <w:rFonts w:ascii="David" w:hAnsi="David"/>
          <w:b/>
          <w:bCs/>
          <w:rtl/>
        </w:rPr>
        <w:t>דיני החוזים לא באו אך להגביר את היעילות הכלכלית. הם באו לאפשר חיי חברה תקינים. חוזה יש לקיים - ולא רק לשלם פיצוי בגין הפרתו - כי בכך מעודדים בני אדם לקיים הבטחותיהם. קיום הבטחות עומד ביסוד חיינו, כחברה וכעם</w:t>
      </w:r>
      <w:r>
        <w:rPr>
          <w:rFonts w:ascii="David" w:hAnsi="David"/>
          <w:rtl/>
        </w:rPr>
        <w:t>".</w:t>
      </w:r>
    </w:p>
    <w:p w:rsidR="00297CB1" w:rsidRDefault="00297CB1" w:rsidP="00297CB1">
      <w:pPr>
        <w:spacing w:line="360" w:lineRule="auto"/>
        <w:ind w:left="2160"/>
        <w:jc w:val="both"/>
        <w:rPr>
          <w:rFonts w:ascii="David" w:hAnsi="David"/>
          <w:b/>
          <w:bCs/>
          <w:rtl/>
        </w:rPr>
      </w:pPr>
    </w:p>
    <w:p w:rsidR="00297CB1" w:rsidRDefault="00297CB1" w:rsidP="00297CB1">
      <w:pPr>
        <w:tabs>
          <w:tab w:val="left" w:pos="288"/>
          <w:tab w:val="left" w:pos="368"/>
          <w:tab w:val="left" w:pos="1296"/>
          <w:tab w:val="left" w:pos="4896"/>
        </w:tabs>
        <w:autoSpaceDE w:val="0"/>
        <w:autoSpaceDN w:val="0"/>
        <w:adjustRightInd w:val="0"/>
        <w:spacing w:after="80" w:line="360" w:lineRule="auto"/>
        <w:ind w:left="720"/>
        <w:jc w:val="both"/>
        <w:rPr>
          <w:rFonts w:ascii="David" w:hAnsi="David"/>
          <w:rtl/>
        </w:rPr>
      </w:pPr>
      <w:r>
        <w:rPr>
          <w:rFonts w:ascii="David" w:hAnsi="David"/>
          <w:rtl/>
        </w:rPr>
        <w:t xml:space="preserve">נכונים הדברים שבעתיים עת עוסקים אנו בהסכמים שערכו בני זוג ואשר נועדו להסדיר היחסים ביניהם לרבות בעניין ילדיהם בעת משבר או פרידה, הואיל ואזי אין מדובר "רק" בהסכם שהוא תולדה של פשרה בין הצדדים, אלא עסקינן בהסכם, אשר עבר את עיניה הבוחנות של הערכאה השיפוטית עובר להטבעת הגושפנקה ומתן תוקף של פסק-דין להסכם האמור. בענייננו, כאמור, קיבל ההסכם בין הצדדים תוקף של פסק דין ביום 31.07.2022. מאידך, אנו מצויים בשלב בו קיימים מספר הליכים אשר מתנהלים בין המבקשת לבין </w:t>
      </w:r>
      <w:r>
        <w:rPr>
          <w:rFonts w:ascii="David" w:hAnsi="David"/>
          <w:rtl/>
        </w:rPr>
        <w:lastRenderedPageBreak/>
        <w:t xml:space="preserve">המשיב וסבורני כי אין זה המקום להיכנס לעובי הקורה בשאלה האם ההסכם בין הצדדים מעיד על הסכמות קונקרטיות וברורות בנוגע להעתקת מקום המגורים. </w:t>
      </w:r>
    </w:p>
    <w:p w:rsidR="00297CB1" w:rsidRDefault="00297CB1" w:rsidP="00297CB1">
      <w:pPr>
        <w:pStyle w:val="ad"/>
        <w:numPr>
          <w:ilvl w:val="0"/>
          <w:numId w:val="1"/>
        </w:numPr>
        <w:spacing w:before="240" w:line="360" w:lineRule="auto"/>
        <w:jc w:val="both"/>
        <w:rPr>
          <w:rFonts w:ascii="David" w:hAnsi="David" w:cs="David"/>
          <w:sz w:val="24"/>
          <w:szCs w:val="24"/>
          <w:rtl/>
        </w:rPr>
      </w:pPr>
      <w:r>
        <w:rPr>
          <w:rFonts w:ascii="David" w:hAnsi="David" w:cs="David"/>
          <w:sz w:val="24"/>
          <w:szCs w:val="24"/>
          <w:rtl/>
        </w:rPr>
        <w:t xml:space="preserve">בית משפט קמא קבע כי לא הוצגה על ידי האם תשתית שיקולים מספקת על מנת להצדיק מעבר מגורים בניגוד להוראות ההסכם ופסק הדין, מלבד שיקול כלכלי גרידא. </w:t>
      </w:r>
    </w:p>
    <w:p w:rsidR="00297CB1" w:rsidRDefault="00297CB1" w:rsidP="00297CB1">
      <w:pPr>
        <w:pStyle w:val="ad"/>
        <w:spacing w:before="240" w:line="360" w:lineRule="auto"/>
        <w:jc w:val="both"/>
        <w:rPr>
          <w:rFonts w:ascii="David" w:hAnsi="David" w:cs="David"/>
          <w:sz w:val="24"/>
          <w:szCs w:val="24"/>
        </w:rPr>
      </w:pPr>
      <w:r>
        <w:rPr>
          <w:rFonts w:ascii="David" w:hAnsi="David" w:cs="David"/>
          <w:sz w:val="24"/>
          <w:szCs w:val="24"/>
          <w:rtl/>
        </w:rPr>
        <w:t xml:space="preserve">אלא שסבורני כי אין להמעיט בערכם של שיקולים כלכליים, גם כשעל כפות המאזניים נשקלת טובת קטין, כפי המקרה שלפנינו. בעניינו יש להדגיש כי בשקלול האינטרסים של הצדדים ביחס להסכם, בין אם השאלה מתעוררת בשלב ביניים זה ואף אם בשלב מאוחר, השאלה בה יש לעסוק והיא שתכריע את הכף מתמקדת בטובת הקטין. משום כך, יש לבחון האם במועד החלטת בית משפט קמא, התקיימו הנסיבות שבעטין ניתן לקיים את ההסכם ולהבטיח את טובת הקטין, את צרכיו הבסיסיים, ובעיקר לקורת גג ולביטחון כלכלי. </w:t>
      </w:r>
    </w:p>
    <w:p w:rsidR="00297CB1" w:rsidRDefault="00297CB1" w:rsidP="00297CB1">
      <w:pPr>
        <w:pStyle w:val="ad"/>
        <w:spacing w:before="240" w:line="360" w:lineRule="auto"/>
        <w:jc w:val="both"/>
        <w:rPr>
          <w:rFonts w:ascii="David" w:hAnsi="David" w:cs="David"/>
          <w:sz w:val="24"/>
          <w:szCs w:val="24"/>
        </w:rPr>
      </w:pPr>
    </w:p>
    <w:p w:rsidR="00297CB1" w:rsidRDefault="00297CB1" w:rsidP="00297CB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מסכים אני עם עמדתה העקרונית של השופטת קמא לפיה בשלב זה הכף נוטה לטובת קיום הוראות ההסכם. אלא שקיום זה אינו מתאפשר ללא הסדרתם תחילה של אותם תנאים מינימליים והכרחיים, לשם קיום הקטין בכבוד תוך הסדרת מדורו ומזונותיו, וההחלטה נעדרת הוראות אופרטיביות שיאפשרו את </w:t>
      </w:r>
      <w:r w:rsidR="00DC0838">
        <w:rPr>
          <w:rFonts w:ascii="David" w:hAnsi="David" w:cs="David"/>
          <w:sz w:val="24"/>
          <w:szCs w:val="24"/>
          <w:rtl/>
        </w:rPr>
        <w:t>חזרת המבקשת והקטין למגורים ב</w:t>
      </w:r>
      <w:r w:rsidR="00DC0838">
        <w:rPr>
          <w:rFonts w:ascii="David" w:hAnsi="David" w:cs="David" w:hint="cs"/>
          <w:sz w:val="24"/>
          <w:szCs w:val="24"/>
          <w:rtl/>
        </w:rPr>
        <w:t>ישוב ד'</w:t>
      </w:r>
      <w:r>
        <w:rPr>
          <w:rFonts w:ascii="David" w:hAnsi="David" w:cs="David"/>
          <w:sz w:val="24"/>
          <w:szCs w:val="24"/>
          <w:rtl/>
        </w:rPr>
        <w:t xml:space="preserve"> או בסביבה.</w:t>
      </w:r>
    </w:p>
    <w:p w:rsidR="00297CB1" w:rsidRDefault="00297CB1" w:rsidP="00297CB1">
      <w:pPr>
        <w:pStyle w:val="ad"/>
        <w:rPr>
          <w:rFonts w:ascii="David" w:hAnsi="David" w:cs="David"/>
          <w:sz w:val="24"/>
          <w:szCs w:val="24"/>
        </w:rPr>
      </w:pPr>
    </w:p>
    <w:p w:rsidR="00297CB1" w:rsidRDefault="00297CB1" w:rsidP="00297CB1">
      <w:pPr>
        <w:pStyle w:val="ad"/>
        <w:numPr>
          <w:ilvl w:val="0"/>
          <w:numId w:val="1"/>
        </w:numPr>
        <w:spacing w:line="360" w:lineRule="auto"/>
        <w:jc w:val="both"/>
        <w:rPr>
          <w:rFonts w:ascii="David" w:hAnsi="David" w:cs="David"/>
          <w:sz w:val="24"/>
          <w:szCs w:val="24"/>
          <w:rtl/>
        </w:rPr>
      </w:pPr>
      <w:r>
        <w:rPr>
          <w:rFonts w:ascii="David" w:hAnsi="David" w:cs="David"/>
          <w:sz w:val="24"/>
          <w:szCs w:val="24"/>
          <w:rtl/>
        </w:rPr>
        <w:t>פניה אל ההסכם בהקשר אחרון זה אינה מועילה. בהסכם נ</w:t>
      </w:r>
      <w:r w:rsidR="00DC0838">
        <w:rPr>
          <w:rFonts w:ascii="David" w:hAnsi="David" w:cs="David"/>
          <w:sz w:val="24"/>
          <w:szCs w:val="24"/>
          <w:rtl/>
        </w:rPr>
        <w:t xml:space="preserve">קבע כי מרכז חיי הקטין יהיה </w:t>
      </w:r>
      <w:r w:rsidR="00DC0838">
        <w:rPr>
          <w:rFonts w:ascii="David" w:hAnsi="David" w:cs="David" w:hint="cs"/>
          <w:sz w:val="24"/>
          <w:szCs w:val="24"/>
          <w:rtl/>
        </w:rPr>
        <w:t>בישוב ד'</w:t>
      </w:r>
      <w:r>
        <w:rPr>
          <w:rFonts w:ascii="David" w:hAnsi="David" w:cs="David"/>
          <w:sz w:val="24"/>
          <w:szCs w:val="24"/>
          <w:rtl/>
        </w:rPr>
        <w:t xml:space="preserve">, וכי המשיב ישלם למזונותיו סך של 1,700 ₪ לחודש, כאשר אלה כוללים הוצאות מכל סוג. עוד נקבע כי במקרה של פירוד, תישא המבקשת בחלוף חודשיים בדמי השכירות של הדירה ובכל הוצאה הקשורה באחזקתה, בשונה מתקופת הזוגיות מהלכה נשא המשיב בדמי השכירות ואילו המבקשת בדמי הארנונה וחשמל. אלא שעל פי המבקשת, ולכך לא מצאתי מענה בתשובת המשיב או בטיעוניו לפני,  חוזה השכירות בוטל והדירה אינה עומדת עוד לרשות הצדדים או המבקשת. </w:t>
      </w:r>
    </w:p>
    <w:p w:rsidR="00297CB1" w:rsidRDefault="00297CB1" w:rsidP="00297CB1">
      <w:pPr>
        <w:pStyle w:val="ad"/>
        <w:spacing w:line="360" w:lineRule="auto"/>
        <w:jc w:val="both"/>
        <w:rPr>
          <w:rFonts w:ascii="David" w:hAnsi="David" w:cs="David"/>
          <w:sz w:val="24"/>
          <w:szCs w:val="24"/>
        </w:rPr>
      </w:pPr>
    </w:p>
    <w:p w:rsidR="00297CB1" w:rsidRDefault="00297CB1" w:rsidP="00297CB1">
      <w:pPr>
        <w:pStyle w:val="ad"/>
        <w:spacing w:line="360" w:lineRule="auto"/>
        <w:jc w:val="both"/>
        <w:rPr>
          <w:rFonts w:ascii="David" w:hAnsi="David" w:cs="David"/>
          <w:sz w:val="24"/>
          <w:szCs w:val="24"/>
          <w:rtl/>
        </w:rPr>
      </w:pPr>
      <w:r>
        <w:rPr>
          <w:rFonts w:ascii="David" w:hAnsi="David" w:cs="David"/>
          <w:sz w:val="24"/>
          <w:szCs w:val="24"/>
          <w:rtl/>
        </w:rPr>
        <w:t xml:space="preserve">אדרבא, מתשובת המשיב עולה כי הוא ביקש לעבור עם המבקשת למגורים בדירת אמו, עד אשר יתייצבו כלכלית ויוכלו להרשות לעצמם לשכור דירה (ר' עמ' 4 ס' 5 לתשובת המשיב). </w:t>
      </w:r>
    </w:p>
    <w:p w:rsidR="00297CB1" w:rsidRDefault="00297CB1" w:rsidP="00297CB1">
      <w:pPr>
        <w:pStyle w:val="ad"/>
        <w:spacing w:line="360" w:lineRule="auto"/>
        <w:jc w:val="both"/>
        <w:rPr>
          <w:rFonts w:ascii="David" w:hAnsi="David" w:cs="David"/>
          <w:sz w:val="24"/>
          <w:szCs w:val="24"/>
          <w:rtl/>
        </w:rPr>
      </w:pPr>
      <w:r>
        <w:rPr>
          <w:rFonts w:ascii="David" w:hAnsi="David" w:cs="David"/>
          <w:sz w:val="24"/>
          <w:szCs w:val="24"/>
          <w:rtl/>
        </w:rPr>
        <w:t>מכאן, ומבלי להביע דעה לגבי גובהם של המזונות המוסכמים ביחס לקטין, וגם אם נקבל טענות המשיב לפיהן עומד הוא בתשלומם, בניגוד לטענת המבקשת, מתקשה אני לראות כיצד תוכל המבקשת לשכור דירה ולכלכל את עצמה ואת הקטין באמצעות סכום זה בלבד, כאשר לטענתה, שלא הוכחשה, היא מחוסרת הכנסה ומקור פרנסה, וחוששני כי מדובר בגזירה שאין היא יכולה לעמוד בה. על כך אוסיף כי הרושם שמתקבל מטיעוני שני הצדדים, כי היכולות הכלכליות של שניהם מצומצמות עד מאוד.</w:t>
      </w:r>
    </w:p>
    <w:p w:rsidR="00297CB1" w:rsidRDefault="00297CB1" w:rsidP="00297CB1">
      <w:pPr>
        <w:pStyle w:val="ad"/>
        <w:rPr>
          <w:rFonts w:ascii="David" w:hAnsi="David" w:cs="David"/>
          <w:sz w:val="24"/>
          <w:szCs w:val="24"/>
        </w:rPr>
      </w:pPr>
    </w:p>
    <w:p w:rsidR="00297CB1" w:rsidRDefault="00297CB1" w:rsidP="004A0502">
      <w:pPr>
        <w:pStyle w:val="ad"/>
        <w:spacing w:line="360" w:lineRule="auto"/>
        <w:jc w:val="both"/>
        <w:rPr>
          <w:rFonts w:ascii="David" w:hAnsi="David" w:cs="David"/>
          <w:sz w:val="24"/>
          <w:szCs w:val="24"/>
          <w:rtl/>
        </w:rPr>
      </w:pPr>
      <w:r>
        <w:rPr>
          <w:rFonts w:ascii="David" w:hAnsi="David" w:cs="David"/>
          <w:sz w:val="24"/>
          <w:szCs w:val="24"/>
          <w:rtl/>
        </w:rPr>
        <w:t>לפיכך ולאור כל האמור לעיל, מורה אני על עיכוב ביצוע החלטת בית משפט קמא מיום 04.04.2023</w:t>
      </w:r>
      <w:r w:rsidR="00DC0838">
        <w:rPr>
          <w:rFonts w:ascii="David" w:hAnsi="David" w:cs="David" w:hint="cs"/>
          <w:sz w:val="24"/>
          <w:szCs w:val="24"/>
          <w:rtl/>
        </w:rPr>
        <w:t>,</w:t>
      </w:r>
      <w:r>
        <w:rPr>
          <w:rFonts w:ascii="David" w:hAnsi="David" w:cs="David"/>
          <w:sz w:val="24"/>
          <w:szCs w:val="24"/>
          <w:rtl/>
        </w:rPr>
        <w:t xml:space="preserve"> עד למתן החלטות ברורות וזמניות בעניין מזונות</w:t>
      </w:r>
      <w:r w:rsidR="00DC0838">
        <w:rPr>
          <w:rFonts w:ascii="David" w:hAnsi="David" w:cs="David"/>
          <w:sz w:val="24"/>
          <w:szCs w:val="24"/>
          <w:rtl/>
        </w:rPr>
        <w:t xml:space="preserve"> הקטין והסדרת סוגית מגוריו ב</w:t>
      </w:r>
      <w:r w:rsidR="00DC0838">
        <w:rPr>
          <w:rFonts w:ascii="David" w:hAnsi="David" w:cs="David" w:hint="cs"/>
          <w:sz w:val="24"/>
          <w:szCs w:val="24"/>
          <w:rtl/>
        </w:rPr>
        <w:t>ישוב ד'</w:t>
      </w:r>
      <w:r>
        <w:rPr>
          <w:rFonts w:ascii="David" w:hAnsi="David" w:cs="David"/>
          <w:sz w:val="24"/>
          <w:szCs w:val="24"/>
          <w:rtl/>
        </w:rPr>
        <w:t>, וזאת גם בשים לב לגילו של הקטין. בל נשכח כי מדובר בקטין בן כ-3 שנים בלבד, ומבלי להקל ראש בצורך בהסדרת רישומו למוסד חינוכי לשנת 2023-2024, ולהימנע במידת האפשר מביצוע מעברים מהלכה, עדין אין הדבר משול לקשיים שמעורר מעבר של ילדים בגיל מתקדם יותר</w:t>
      </w:r>
      <w:r w:rsidR="004A0502">
        <w:rPr>
          <w:rFonts w:ascii="David" w:hAnsi="David" w:cs="David" w:hint="cs"/>
          <w:sz w:val="24"/>
          <w:szCs w:val="24"/>
          <w:rtl/>
        </w:rPr>
        <w:t>,</w:t>
      </w:r>
      <w:r>
        <w:rPr>
          <w:rFonts w:ascii="David" w:hAnsi="David" w:cs="David"/>
          <w:sz w:val="24"/>
          <w:szCs w:val="24"/>
          <w:rtl/>
        </w:rPr>
        <w:t xml:space="preserve"> ממוסד חינוכי אחד לאחר.</w:t>
      </w:r>
    </w:p>
    <w:p w:rsidR="00297CB1" w:rsidRDefault="00297CB1" w:rsidP="00297CB1">
      <w:pPr>
        <w:pStyle w:val="ad"/>
        <w:spacing w:line="360" w:lineRule="auto"/>
        <w:jc w:val="both"/>
        <w:rPr>
          <w:rFonts w:ascii="David" w:hAnsi="David" w:cs="David"/>
          <w:sz w:val="24"/>
          <w:szCs w:val="24"/>
          <w:rtl/>
        </w:rPr>
      </w:pPr>
    </w:p>
    <w:p w:rsidR="00297CB1" w:rsidRDefault="00297CB1" w:rsidP="00297CB1">
      <w:pPr>
        <w:pStyle w:val="ad"/>
        <w:numPr>
          <w:ilvl w:val="0"/>
          <w:numId w:val="1"/>
        </w:numPr>
        <w:spacing w:line="360" w:lineRule="auto"/>
        <w:jc w:val="both"/>
        <w:rPr>
          <w:rFonts w:ascii="David" w:hAnsi="David" w:cs="David"/>
          <w:sz w:val="24"/>
          <w:szCs w:val="24"/>
          <w:rtl/>
        </w:rPr>
      </w:pPr>
      <w:r>
        <w:rPr>
          <w:rFonts w:ascii="David" w:hAnsi="David" w:cs="David"/>
          <w:sz w:val="24"/>
          <w:szCs w:val="24"/>
          <w:rtl/>
        </w:rPr>
        <w:t>אבהיר כאן, כי בהתאם לאמור לעיל, על בית משפט קמא ליתן את דעתו ט</w:t>
      </w:r>
      <w:r w:rsidR="00DC0838">
        <w:rPr>
          <w:rFonts w:ascii="David" w:hAnsi="David" w:cs="David"/>
          <w:sz w:val="24"/>
          <w:szCs w:val="24"/>
          <w:rtl/>
        </w:rPr>
        <w:t>רם מתן הוראה על השבת הקטין ל</w:t>
      </w:r>
      <w:r w:rsidR="00DC0838">
        <w:rPr>
          <w:rFonts w:ascii="David" w:hAnsi="David" w:cs="David" w:hint="cs"/>
          <w:sz w:val="24"/>
          <w:szCs w:val="24"/>
          <w:rtl/>
        </w:rPr>
        <w:t>ישוב ד'</w:t>
      </w:r>
      <w:r>
        <w:rPr>
          <w:rFonts w:ascii="David" w:hAnsi="David" w:cs="David"/>
          <w:sz w:val="24"/>
          <w:szCs w:val="24"/>
          <w:rtl/>
        </w:rPr>
        <w:t>, על אודות יכולתה של המבקשת לשכור דירה מ</w:t>
      </w:r>
      <w:r w:rsidR="00DC0838">
        <w:rPr>
          <w:rFonts w:ascii="David" w:hAnsi="David" w:cs="David"/>
          <w:sz w:val="24"/>
          <w:szCs w:val="24"/>
          <w:rtl/>
        </w:rPr>
        <w:t>תאימה עבור מגוריה עם הקטין ב</w:t>
      </w:r>
      <w:r w:rsidR="00DC0838">
        <w:rPr>
          <w:rFonts w:ascii="David" w:hAnsi="David" w:cs="David" w:hint="cs"/>
          <w:sz w:val="24"/>
          <w:szCs w:val="24"/>
          <w:rtl/>
        </w:rPr>
        <w:t>ישוב ד'</w:t>
      </w:r>
      <w:r>
        <w:rPr>
          <w:rFonts w:ascii="David" w:hAnsi="David" w:cs="David"/>
          <w:sz w:val="24"/>
          <w:szCs w:val="24"/>
          <w:rtl/>
        </w:rPr>
        <w:t xml:space="preserve">, בהתאם להסכם, וכי יהא באפשרותה לכלכלו בכבוד, וגם לכלכל את עצמה, בכפוף </w:t>
      </w:r>
      <w:r w:rsidR="004A0502">
        <w:rPr>
          <w:rFonts w:ascii="David" w:hAnsi="David" w:cs="David"/>
          <w:sz w:val="24"/>
          <w:szCs w:val="24"/>
          <w:rtl/>
        </w:rPr>
        <w:t>לתשלום המזונות להם התחייב המשיב</w:t>
      </w:r>
      <w:r w:rsidR="004A0502">
        <w:rPr>
          <w:rFonts w:ascii="David" w:hAnsi="David" w:cs="David" w:hint="cs"/>
          <w:sz w:val="24"/>
          <w:szCs w:val="24"/>
          <w:rtl/>
        </w:rPr>
        <w:t>,</w:t>
      </w:r>
      <w:r w:rsidR="004A0502" w:rsidRPr="004A0502">
        <w:rPr>
          <w:rFonts w:ascii="David" w:hAnsi="David" w:cs="David" w:hint="cs"/>
          <w:sz w:val="24"/>
          <w:szCs w:val="24"/>
          <w:rtl/>
        </w:rPr>
        <w:t xml:space="preserve"> </w:t>
      </w:r>
      <w:r w:rsidR="004A0502">
        <w:rPr>
          <w:rFonts w:ascii="David" w:hAnsi="David" w:cs="David" w:hint="cs"/>
          <w:sz w:val="24"/>
          <w:szCs w:val="24"/>
          <w:rtl/>
        </w:rPr>
        <w:t>וללא אותה עזרה המתקבלת מהוריה במגוריה אצלם.</w:t>
      </w:r>
      <w:r w:rsidR="008206D8">
        <w:rPr>
          <w:rFonts w:ascii="David" w:hAnsi="David" w:cs="David" w:hint="cs"/>
          <w:sz w:val="24"/>
          <w:szCs w:val="24"/>
          <w:rtl/>
        </w:rPr>
        <w:t xml:space="preserve"> ככל שהדבר אינו מתאפשר, יבחן בית משפט קמא מהי הדרך המתאימה, אם בכלל, בה ניתן לקיים את ההסכם, האם ניתן לראות בו בנסיבות דנן כהסכם שצודק לאכפו וכיצד, והאם הדבר עולה </w:t>
      </w:r>
      <w:r w:rsidR="008217B8">
        <w:rPr>
          <w:rFonts w:ascii="David" w:hAnsi="David" w:cs="David" w:hint="cs"/>
          <w:sz w:val="24"/>
          <w:szCs w:val="24"/>
          <w:rtl/>
        </w:rPr>
        <w:t>בקנה אחד עם טובת הקטין וכן יתן דעתו לשאלות נוספות וקשורות שיתעוררו.</w:t>
      </w:r>
    </w:p>
    <w:p w:rsidR="00297CB1" w:rsidRDefault="00297CB1" w:rsidP="00297CB1">
      <w:pPr>
        <w:rPr>
          <w:rFonts w:ascii="David" w:hAnsi="David"/>
        </w:rPr>
      </w:pPr>
    </w:p>
    <w:p w:rsidR="00297CB1" w:rsidRDefault="00297CB1" w:rsidP="00297CB1">
      <w:pPr>
        <w:pStyle w:val="ad"/>
        <w:numPr>
          <w:ilvl w:val="0"/>
          <w:numId w:val="1"/>
        </w:numPr>
        <w:spacing w:line="360" w:lineRule="auto"/>
        <w:jc w:val="both"/>
        <w:rPr>
          <w:rFonts w:ascii="David" w:hAnsi="David" w:cs="David"/>
          <w:sz w:val="24"/>
          <w:szCs w:val="24"/>
          <w:rtl/>
        </w:rPr>
      </w:pPr>
      <w:r>
        <w:rPr>
          <w:rFonts w:ascii="David" w:hAnsi="David" w:cs="David"/>
          <w:sz w:val="24"/>
          <w:szCs w:val="24"/>
          <w:rtl/>
        </w:rPr>
        <w:t>הערעור איפוא מתקבל חלקית, כמפורט לעיל.</w:t>
      </w:r>
    </w:p>
    <w:p w:rsidR="00297CB1" w:rsidRDefault="00297CB1" w:rsidP="00297CB1">
      <w:pPr>
        <w:pStyle w:val="ad"/>
        <w:spacing w:line="360" w:lineRule="auto"/>
        <w:jc w:val="both"/>
        <w:rPr>
          <w:rFonts w:ascii="David" w:hAnsi="David" w:cs="David"/>
          <w:sz w:val="24"/>
          <w:szCs w:val="24"/>
        </w:rPr>
      </w:pPr>
      <w:r>
        <w:rPr>
          <w:rFonts w:ascii="David" w:hAnsi="David" w:cs="David"/>
          <w:sz w:val="24"/>
          <w:szCs w:val="24"/>
          <w:rtl/>
        </w:rPr>
        <w:t>בנסיבות העניין כל צד ישא בהוצאותיו.</w:t>
      </w:r>
    </w:p>
    <w:p w:rsidR="00297CB1" w:rsidRDefault="00297CB1" w:rsidP="00297CB1">
      <w:pPr>
        <w:pStyle w:val="ad"/>
        <w:spacing w:line="360" w:lineRule="auto"/>
        <w:jc w:val="both"/>
        <w:rPr>
          <w:rFonts w:ascii="David" w:hAnsi="David" w:cs="David"/>
          <w:sz w:val="24"/>
          <w:szCs w:val="24"/>
          <w:rtl/>
        </w:rPr>
      </w:pPr>
    </w:p>
    <w:p w:rsidR="00694556" w:rsidRPr="00C770E3" w:rsidRDefault="00297CB1" w:rsidP="00297CB1">
      <w:pPr>
        <w:suppressLineNumbers/>
        <w:rPr>
          <w:rFonts w:ascii="Arial" w:hAnsi="Arial"/>
          <w:noProof w:val="0"/>
          <w:rtl/>
        </w:rPr>
      </w:pPr>
      <w:r>
        <w:rPr>
          <w:rFonts w:ascii="David" w:hAnsi="David"/>
          <w:rtl/>
        </w:rPr>
        <w:t>מותר לפרסום לאחר מחיקת שמות הצדדים והשמטת פרטים מזהים.</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17 יולי 2023</w:t>
          </w:r>
        </w:sdtContent>
      </w:sdt>
      <w:r w:rsidR="00005C8B">
        <w:rPr>
          <w:rFonts w:ascii="Arial" w:hAnsi="Arial"/>
          <w:noProof w:val="0"/>
          <w:rtl/>
        </w:rPr>
        <w:t>, בהעדר הצדדים.</w:t>
      </w:r>
    </w:p>
    <w:p w:rsidR="00C43648" w:rsidRDefault="0020243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71851488"/>
        </w:sdtPr>
        <w:sdtEndPr/>
        <w:sdtContent>
          <w:r w:rsidR="002C6BF6">
            <w:drawing>
              <wp:inline distT="0" distB="0" distL="0" distR="0" wp14:editId="50D07946">
                <wp:extent cx="144780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extLst/>
                        </a:blip>
                        <a:stretch>
                          <a:fillRect/>
                        </a:stretch>
                      </pic:blipFill>
                      <pic:spPr>
                        <a:xfrm>
                          <a:off x="0" y="0"/>
                          <a:ext cx="1447800" cy="12573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8"/>
      <w:headerReference w:type="default" r:id="rId19"/>
      <w:footerReference w:type="even" r:id="rId20"/>
      <w:footerReference w:type="default" r:id="rId21"/>
      <w:headerReference w:type="first" r:id="rId22"/>
      <w:footerReference w:type="first" r:id="rId2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243B" w:rsidRDefault="0020243B">
      <w:r>
        <w:separator/>
      </w:r>
    </w:p>
  </w:endnote>
  <w:endnote w:type="continuationSeparator" w:id="0">
    <w:p w:rsidR="0020243B" w:rsidRDefault="00202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mo">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418" w:rsidRDefault="0065341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E1A31">
      <w:rPr>
        <w:rStyle w:val="ab"/>
        <w:rFonts w:cs="Times New Roman"/>
        <w:rtl/>
      </w:rPr>
      <w:t>7</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E1A31">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418" w:rsidRDefault="0065341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243B" w:rsidRDefault="0020243B">
      <w:r>
        <w:separator/>
      </w:r>
    </w:p>
  </w:footnote>
  <w:footnote w:type="continuationSeparator" w:id="0">
    <w:p w:rsidR="0020243B" w:rsidRDefault="00202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418" w:rsidRDefault="0065341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0243B"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33176-05-23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DC0838">
                <w:rPr>
                  <w:b/>
                  <w:bCs/>
                  <w:noProof w:val="0"/>
                  <w:sz w:val="26"/>
                  <w:szCs w:val="26"/>
                  <w:rtl/>
                </w:rPr>
                <w:t>מ</w:t>
              </w:r>
              <w:r w:rsidR="00DC0838">
                <w:rPr>
                  <w:rFonts w:hint="cs"/>
                  <w:b/>
                  <w:bCs/>
                  <w:noProof w:val="0"/>
                  <w:sz w:val="26"/>
                  <w:szCs w:val="26"/>
                  <w:rtl/>
                </w:rPr>
                <w:t>'</w:t>
              </w:r>
              <w:r w:rsidR="00DC0838">
                <w:rPr>
                  <w:b/>
                  <w:bCs/>
                  <w:noProof w:val="0"/>
                  <w:sz w:val="26"/>
                  <w:szCs w:val="26"/>
                  <w:rtl/>
                </w:rPr>
                <w:t xml:space="preserve"> נ' מ</w:t>
              </w:r>
              <w:r w:rsidR="00DC0838">
                <w:rPr>
                  <w:rFonts w:hint="cs"/>
                  <w:b/>
                  <w:bCs/>
                  <w:noProof w:val="0"/>
                  <w:sz w:val="26"/>
                  <w:szCs w:val="26"/>
                  <w:rtl/>
                </w:rPr>
                <w:t>'</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418" w:rsidRDefault="0065341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83A52"/>
    <w:multiLevelType w:val="hybridMultilevel"/>
    <w:tmpl w:val="1B7843AE"/>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2ECE63FD"/>
    <w:multiLevelType w:val="hybridMultilevel"/>
    <w:tmpl w:val="DB0CF4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46183"/>
    <w:docVar w:name="CourtID" w:val="13"/>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246183&amp;lt;/CaseID&amp;gt;_x000d__x000a_        &amp;lt;DocumentID&amp;gt;417170652&amp;lt;/DocumentID&amp;gt;_x000d__x000a_      &amp;lt;/dt_DocumentCase&amp;gt;_x000d__x000a_      &amp;lt;dt_Document diffgr:id=&amp;quot;dt_Document1&amp;quot; msdata:rowOrder=&amp;quot;0&amp;quot;&amp;gt;_x000d__x000a_        &amp;lt;DocumentID&amp;gt;417170652&amp;lt;/DocumentID&amp;gt;_x000d__x000a_        &amp;lt;DocumentMainID&amp;gt;0&amp;lt;/DocumentMainID&amp;gt;_x000d__x000a_        &amp;lt;CaseID&amp;gt;80246183&amp;lt;/CaseID&amp;gt;_x000d__x000a_        &amp;lt;DocumentIncludedDate&amp;gt;2023-07-17T17:15:05.5+03:00&amp;lt;/DocumentIncludedDate&amp;gt;_x000d__x000a_        &amp;lt;DocumentDesc&amp;gt;פסק דין  שניתנה ע&amp;quot;י  סארי ג&amp;#39;יוסי&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7-17T17:15:05.5+03:00&amp;lt;/DocumentSavingDate&amp;gt;_x000d__x000a_        &amp;lt;DocumentChangeDate&amp;gt;2023-07-17T17:15:05.78+03:00&amp;lt;/DocumentChangeDate&amp;gt;_x000d__x000a_        &amp;lt;IsScanned&amp;gt;false&amp;lt;/IsScanned&amp;gt;_x000d__x000a_        &amp;lt;PageQuantity&amp;gt;0&amp;lt;/PageQuantity&amp;gt;_x000d__x000a_        &amp;lt;DocumentStatusID&amp;gt;2&amp;lt;/DocumentStatusID&amp;gt;_x000d__x000a_        &amp;lt;DocumentStatusChangeDate&amp;gt;2023-07-17T17:15:05.78+03:00&amp;lt;/DocumentStatusChangeDate&amp;gt;_x000d__x000a_        &amp;lt;TemplateVersionID&amp;gt;1&amp;lt;/TemplateVersionID&amp;gt;_x000d__x000a_        &amp;lt;DocumentChangeUserID&amp;gt;023469166@GOV.IL&amp;lt;/DocumentChangeUserID&amp;gt;_x000d__x000a_        &amp;lt;DocumentCreationUserID&amp;gt;023469166@GOV.IL&amp;lt;/DocumentCreationUserID&amp;gt;_x000d__x000a_        &amp;lt;OriginalDocumentID&amp;gt;417165430&amp;lt;/OriginalDocumentID&amp;gt;_x000d__x000a_        &amp;lt;PrivillegeID&amp;gt;2&amp;lt;/PrivillegeID&amp;gt;_x000d__x000a_        &amp;lt;FromPage&amp;gt;0&amp;lt;/FromPage&amp;gt;_x000d__x000a_        &amp;lt;ToPage&amp;gt;0&amp;lt;/ToPage&amp;gt;_x000d__x000a_        &amp;lt;FileID&amp;gt;a76d346489010000090037f6a745309e&amp;lt;/FileID&amp;gt;_x000d__x000a_        &amp;lt;URL&amp;gt;\\CTLNFSV02\doc_repository\75\285\d73c296489010000090037f6a745004f_copy.docx&amp;lt;/URL&amp;gt;_x000d__x000a_        &amp;lt;OlivePriority&amp;gt;1&amp;lt;/OlivePriority&amp;gt;_x000d__x000a_        &amp;lt;MetaDataTypeID&amp;gt;1&amp;lt;/MetaDataTypeID&amp;gt;_x000d__x000a_        &amp;lt;MetaDataChangeDate&amp;gt;2023-07-17T17:15:05.78+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סארי ג&amp;#39;יוסי&amp;amp;lt;/anyType&amp;amp;gt;_x000d__x000a_    &amp;amp;lt;anyType xsi:type=&amp;quot;xsd:dateTime&amp;quot;&amp;amp;gt;2023-07-17T17:02:55.2563336&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7-17T17:02:55.25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0243B"/>
    <w:rsid w:val="002265FF"/>
    <w:rsid w:val="00271B56"/>
    <w:rsid w:val="00272E32"/>
    <w:rsid w:val="00297CB1"/>
    <w:rsid w:val="002C344E"/>
    <w:rsid w:val="002C6BF6"/>
    <w:rsid w:val="002D37A2"/>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A0502"/>
    <w:rsid w:val="004C17EE"/>
    <w:rsid w:val="004C4BDF"/>
    <w:rsid w:val="004D1187"/>
    <w:rsid w:val="004D3AA0"/>
    <w:rsid w:val="004E1987"/>
    <w:rsid w:val="004E1A31"/>
    <w:rsid w:val="004E2E15"/>
    <w:rsid w:val="004E6E3C"/>
    <w:rsid w:val="00520898"/>
    <w:rsid w:val="00523621"/>
    <w:rsid w:val="00524986"/>
    <w:rsid w:val="005268F6"/>
    <w:rsid w:val="00534284"/>
    <w:rsid w:val="00547DB7"/>
    <w:rsid w:val="00550BA3"/>
    <w:rsid w:val="00557717"/>
    <w:rsid w:val="00576A86"/>
    <w:rsid w:val="005A3DF0"/>
    <w:rsid w:val="005F4F09"/>
    <w:rsid w:val="00603F73"/>
    <w:rsid w:val="0061431B"/>
    <w:rsid w:val="00622BAA"/>
    <w:rsid w:val="006306CF"/>
    <w:rsid w:val="006337BA"/>
    <w:rsid w:val="00644E9A"/>
    <w:rsid w:val="00653418"/>
    <w:rsid w:val="00671BD5"/>
    <w:rsid w:val="006805C1"/>
    <w:rsid w:val="00686C21"/>
    <w:rsid w:val="006931C1"/>
    <w:rsid w:val="00694556"/>
    <w:rsid w:val="006C30C5"/>
    <w:rsid w:val="006D3B31"/>
    <w:rsid w:val="006E0D96"/>
    <w:rsid w:val="006E1A53"/>
    <w:rsid w:val="006F56E6"/>
    <w:rsid w:val="00700B28"/>
    <w:rsid w:val="00704EDA"/>
    <w:rsid w:val="00721122"/>
    <w:rsid w:val="00734689"/>
    <w:rsid w:val="007351F7"/>
    <w:rsid w:val="00753019"/>
    <w:rsid w:val="00754801"/>
    <w:rsid w:val="00761441"/>
    <w:rsid w:val="00780F2A"/>
    <w:rsid w:val="00795365"/>
    <w:rsid w:val="007A351D"/>
    <w:rsid w:val="007B7765"/>
    <w:rsid w:val="007C2453"/>
    <w:rsid w:val="007C5BDD"/>
    <w:rsid w:val="007D45E3"/>
    <w:rsid w:val="007E6115"/>
    <w:rsid w:val="007F4609"/>
    <w:rsid w:val="00805EFF"/>
    <w:rsid w:val="00814468"/>
    <w:rsid w:val="008176A1"/>
    <w:rsid w:val="00820005"/>
    <w:rsid w:val="008206D8"/>
    <w:rsid w:val="008217B8"/>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C4"/>
    <w:rsid w:val="00C642FA"/>
    <w:rsid w:val="00C770E3"/>
    <w:rsid w:val="00CC7622"/>
    <w:rsid w:val="00CD608F"/>
    <w:rsid w:val="00CF6BB7"/>
    <w:rsid w:val="00D04AA4"/>
    <w:rsid w:val="00D27982"/>
    <w:rsid w:val="00D33B86"/>
    <w:rsid w:val="00D44968"/>
    <w:rsid w:val="00D53924"/>
    <w:rsid w:val="00D55D0C"/>
    <w:rsid w:val="00D96D8C"/>
    <w:rsid w:val="00DA6649"/>
    <w:rsid w:val="00DC0838"/>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C6B02"/>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semiHidden/>
    <w:unhideWhenUsed/>
    <w:rsid w:val="00297CB1"/>
    <w:rPr>
      <w:color w:val="0000FF"/>
      <w:u w:val="single"/>
    </w:rPr>
  </w:style>
  <w:style w:type="paragraph" w:styleId="ad">
    <w:name w:val="List Paragraph"/>
    <w:basedOn w:val="a"/>
    <w:uiPriority w:val="34"/>
    <w:qFormat/>
    <w:rsid w:val="00297CB1"/>
    <w:pPr>
      <w:spacing w:after="160" w:line="254"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57626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21508425" TargetMode="External"/><Relationship Id="rId13" Type="http://schemas.openxmlformats.org/officeDocument/2006/relationships/hyperlink" Target="http://www.nevo.co.il/law/74880"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nevo.co.il/case/25941177" TargetMode="External"/><Relationship Id="rId17" Type="http://schemas.openxmlformats.org/officeDocument/2006/relationships/image" Target="media/image1.jpg"/><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www.nevo.co.il/case/17914521"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5922135"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nevo.co.il/case/6229138" TargetMode="External"/><Relationship Id="rId23" Type="http://schemas.openxmlformats.org/officeDocument/2006/relationships/footer" Target="footer3.xml"/><Relationship Id="rId10" Type="http://schemas.openxmlformats.org/officeDocument/2006/relationships/hyperlink" Target="http://www.nevo.co.il/case/5585882"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nevo.co.il/safrut/bookgroup/669" TargetMode="External"/><Relationship Id="rId14" Type="http://schemas.openxmlformats.org/officeDocument/2006/relationships/hyperlink" Target="http://www.nevo.co.il/law/70325"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96523A" w:rsidP="0096523A">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2D127218B6CD4F2CBE8EEA5CB2250DC1"/>
        <w:category>
          <w:name w:val="כללי"/>
          <w:gallery w:val="placeholder"/>
        </w:category>
        <w:types>
          <w:type w:val="bbPlcHdr"/>
        </w:types>
        <w:behaviors>
          <w:behavior w:val="content"/>
        </w:behaviors>
        <w:guid w:val="{70C53F79-83B2-4939-A6EF-C5EFCA2B2104}"/>
      </w:docPartPr>
      <w:docPartBody>
        <w:p w:rsidR="005624C4" w:rsidRDefault="0096523A" w:rsidP="0096523A">
          <w:pPr>
            <w:pStyle w:val="2D127218B6CD4F2CBE8EEA5CB2250DC1"/>
          </w:pPr>
          <w:r>
            <w:rPr>
              <w:rFonts w:ascii="Arial" w:hAnsi="Arial"/>
              <w:b/>
              <w:bCs/>
              <w:sz w:val="26"/>
              <w:szCs w:val="26"/>
              <w:rtl/>
            </w:rPr>
            <w:t>שם צד א' ללא שם של חסוי</w:t>
          </w:r>
        </w:p>
      </w:docPartBody>
    </w:docPart>
    <w:docPart>
      <w:docPartPr>
        <w:name w:val="DDC48FD51AB648F88D3DCE8C05FC65A9"/>
        <w:category>
          <w:name w:val="כללי"/>
          <w:gallery w:val="placeholder"/>
        </w:category>
        <w:types>
          <w:type w:val="bbPlcHdr"/>
        </w:types>
        <w:behaviors>
          <w:behavior w:val="content"/>
        </w:behaviors>
        <w:guid w:val="{5286559F-2BBD-42C0-8E1A-057D126A818C}"/>
      </w:docPartPr>
      <w:docPartBody>
        <w:p w:rsidR="005624C4" w:rsidRDefault="0096523A" w:rsidP="0096523A">
          <w:pPr>
            <w:pStyle w:val="DDC48FD51AB648F88D3DCE8C05FC65A9"/>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mo">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4942C2"/>
    <w:rsid w:val="005157ED"/>
    <w:rsid w:val="005171E8"/>
    <w:rsid w:val="00556D67"/>
    <w:rsid w:val="005624C4"/>
    <w:rsid w:val="00793995"/>
    <w:rsid w:val="007C6F98"/>
    <w:rsid w:val="007E254A"/>
    <w:rsid w:val="00817811"/>
    <w:rsid w:val="008B4366"/>
    <w:rsid w:val="009133C7"/>
    <w:rsid w:val="009178E4"/>
    <w:rsid w:val="00961B27"/>
    <w:rsid w:val="0096523A"/>
    <w:rsid w:val="009A4BEE"/>
    <w:rsid w:val="009B4559"/>
    <w:rsid w:val="00A51CA1"/>
    <w:rsid w:val="00AA7CE3"/>
    <w:rsid w:val="00AD53D7"/>
    <w:rsid w:val="00B50DB2"/>
    <w:rsid w:val="00B91FA3"/>
    <w:rsid w:val="00BE6557"/>
    <w:rsid w:val="00C96C06"/>
    <w:rsid w:val="00CE1DCB"/>
    <w:rsid w:val="00CF6022"/>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6523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96523A"/>
    <w:pPr>
      <w:bidi/>
      <w:spacing w:after="0" w:line="240" w:lineRule="auto"/>
    </w:pPr>
    <w:rPr>
      <w:rFonts w:ascii="Times New Roman" w:eastAsia="Times New Roman" w:hAnsi="Times New Roman" w:cs="David"/>
      <w:noProof/>
      <w:sz w:val="24"/>
      <w:szCs w:val="24"/>
    </w:rPr>
  </w:style>
  <w:style w:type="paragraph" w:customStyle="1" w:styleId="2D127218B6CD4F2CBE8EEA5CB2250DC1">
    <w:name w:val="2D127218B6CD4F2CBE8EEA5CB2250DC1"/>
    <w:rsid w:val="0096523A"/>
    <w:pPr>
      <w:bidi/>
      <w:spacing w:after="160" w:line="259" w:lineRule="auto"/>
    </w:pPr>
  </w:style>
  <w:style w:type="paragraph" w:customStyle="1" w:styleId="DDC48FD51AB648F88D3DCE8C05FC65A9">
    <w:name w:val="DDC48FD51AB648F88D3DCE8C05FC65A9"/>
    <w:rsid w:val="0096523A"/>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1938</Words>
  <Characters>9693</Characters>
  <Application>Microsoft Office Word</Application>
  <DocSecurity>0</DocSecurity>
  <Lines>80</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2023-09-11T12:20:00Z</dcterms:created>
  <dcterms:modified xsi:type="dcterms:W3CDTF">2023-09-11T12:20:00Z</dcterms:modified>
</cp:coreProperties>
</file>